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sz w:val="24"/>
          <w:szCs w:val="24"/>
        </w:rPr>
        <w:t>1.</w:t>
      </w:r>
      <w:r>
        <w:rPr>
          <w:rFonts w:ascii="Times New Roman" w:hAnsi="Times New Roman" w:eastAsia="宋体"/>
          <w:b/>
          <w:sz w:val="24"/>
          <w:szCs w:val="24"/>
        </w:rPr>
        <w:t>项目名称</w:t>
      </w:r>
      <w:r>
        <w:rPr>
          <w:rFonts w:hint="eastAsia" w:ascii="Times New Roman" w:hAnsi="Times New Roman" w:eastAsia="宋体"/>
          <w:sz w:val="24"/>
          <w:szCs w:val="24"/>
        </w:rPr>
        <w:t>：备料分厂（南区）上料系统改造项目</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ascii="Times New Roman" w:hAnsi="Times New Roman" w:eastAsia="宋体"/>
          <w:b/>
          <w:sz w:val="24"/>
          <w:szCs w:val="24"/>
        </w:rPr>
      </w:pPr>
      <w:r>
        <w:rPr>
          <w:rFonts w:hint="eastAsia" w:ascii="Times New Roman" w:hAnsi="Times New Roman" w:eastAsia="宋体"/>
          <w:b/>
          <w:sz w:val="24"/>
          <w:szCs w:val="24"/>
        </w:rPr>
        <w:t>2.项目内容及要求</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bCs/>
          <w:sz w:val="24"/>
          <w:szCs w:val="24"/>
        </w:rPr>
      </w:pPr>
      <w:r>
        <w:rPr>
          <w:rFonts w:hint="eastAsia" w:ascii="Times New Roman" w:hAnsi="Times New Roman" w:eastAsia="宋体"/>
          <w:bCs/>
          <w:sz w:val="24"/>
          <w:szCs w:val="24"/>
        </w:rPr>
        <w:t>2.1  1#槽型带式输送机（参数见设备清单）：</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bCs/>
          <w:sz w:val="24"/>
          <w:szCs w:val="24"/>
        </w:rPr>
      </w:pPr>
      <w:r>
        <w:rPr>
          <w:rFonts w:hint="eastAsia" w:ascii="Times New Roman" w:hAnsi="Times New Roman" w:eastAsia="宋体"/>
          <w:bCs/>
          <w:sz w:val="24"/>
          <w:szCs w:val="24"/>
        </w:rPr>
        <w:t>（1）移位安装调试；</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bCs/>
          <w:sz w:val="24"/>
          <w:szCs w:val="24"/>
        </w:rPr>
      </w:pPr>
      <w:r>
        <w:rPr>
          <w:rFonts w:hint="eastAsia" w:ascii="Times New Roman" w:hAnsi="Times New Roman" w:eastAsia="宋体"/>
          <w:bCs/>
          <w:sz w:val="24"/>
          <w:szCs w:val="24"/>
        </w:rPr>
        <w:t>（2）带式输送机加长部分需增加部件（数量见设备清单）由中标人提供并安装调试。</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bCs/>
          <w:sz w:val="24"/>
          <w:szCs w:val="24"/>
        </w:rPr>
      </w:pPr>
      <w:r>
        <w:rPr>
          <w:rFonts w:hint="eastAsia" w:ascii="Times New Roman" w:hAnsi="Times New Roman" w:eastAsia="宋体"/>
          <w:bCs/>
          <w:sz w:val="24"/>
          <w:szCs w:val="24"/>
        </w:rPr>
        <w:t>（3）槽型带式输送机输送量600m³/h(虚积)，带宽1200mm，水平长度162米。（其中旧皮带机水平长度98米），带速1.7m/s一条。减速机及电机，机架、主、被动辊等利旧。</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bCs/>
          <w:sz w:val="24"/>
          <w:szCs w:val="24"/>
        </w:rPr>
      </w:pPr>
      <w:r>
        <w:rPr>
          <w:rFonts w:hint="eastAsia" w:ascii="Times New Roman" w:hAnsi="Times New Roman" w:eastAsia="宋体"/>
          <w:bCs/>
          <w:sz w:val="24"/>
          <w:szCs w:val="24"/>
        </w:rPr>
        <w:t>（4）投标人自行选择有资质的设计单位进行合作，设计并提供正式有资质的图纸。</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bCs/>
          <w:sz w:val="24"/>
          <w:szCs w:val="24"/>
        </w:rPr>
      </w:pPr>
      <w:r>
        <w:rPr>
          <w:rFonts w:hint="eastAsia" w:ascii="Times New Roman" w:hAnsi="Times New Roman" w:eastAsia="宋体"/>
          <w:bCs/>
          <w:sz w:val="24"/>
          <w:szCs w:val="24"/>
        </w:rPr>
        <w:t>2.2  2#槽型带式输送机（参数见设备清单）：</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bCs/>
          <w:sz w:val="24"/>
          <w:szCs w:val="24"/>
        </w:rPr>
      </w:pPr>
      <w:r>
        <w:rPr>
          <w:rFonts w:hint="eastAsia" w:ascii="Times New Roman" w:hAnsi="Times New Roman" w:eastAsia="宋体"/>
          <w:bCs/>
          <w:sz w:val="24"/>
          <w:szCs w:val="24"/>
        </w:rPr>
        <w:t>（1）由中标人提供并安装调试。</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bCs/>
          <w:sz w:val="24"/>
          <w:szCs w:val="24"/>
        </w:rPr>
      </w:pPr>
      <w:r>
        <w:rPr>
          <w:rFonts w:hint="eastAsia" w:ascii="Times New Roman" w:hAnsi="Times New Roman" w:eastAsia="宋体"/>
          <w:bCs/>
          <w:sz w:val="24"/>
          <w:szCs w:val="24"/>
        </w:rPr>
        <w:t>（2）槽型带式输送机输送量600m³/h(虚积)，带宽1200mm，水平长度14米。带速1.7m/s一条。</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bCs/>
          <w:sz w:val="24"/>
          <w:szCs w:val="24"/>
        </w:rPr>
      </w:pPr>
      <w:r>
        <w:rPr>
          <w:rFonts w:hint="eastAsia" w:ascii="Times New Roman" w:hAnsi="Times New Roman" w:eastAsia="宋体"/>
          <w:bCs/>
          <w:sz w:val="24"/>
          <w:szCs w:val="24"/>
        </w:rPr>
        <w:t>（3）投标人自行选择有资质的设计单位进行合作，设计并提供正式有资质的图纸。</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bCs/>
          <w:sz w:val="24"/>
          <w:szCs w:val="24"/>
        </w:rPr>
      </w:pPr>
      <w:r>
        <w:rPr>
          <w:rFonts w:hint="eastAsia" w:ascii="Times New Roman" w:hAnsi="Times New Roman" w:eastAsia="宋体"/>
          <w:bCs/>
          <w:sz w:val="24"/>
          <w:szCs w:val="24"/>
        </w:rPr>
        <w:t>2.3电磁吸铁器（参数见设备清单）和混样器：</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bCs/>
          <w:sz w:val="24"/>
          <w:szCs w:val="24"/>
        </w:rPr>
      </w:pPr>
      <w:r>
        <w:rPr>
          <w:rFonts w:hint="eastAsia" w:ascii="Times New Roman" w:hAnsi="Times New Roman" w:eastAsia="宋体"/>
          <w:bCs/>
          <w:sz w:val="24"/>
          <w:szCs w:val="24"/>
        </w:rPr>
        <w:t>（1）电磁吸铁器由中标人提供并安装调试。</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bCs/>
          <w:sz w:val="24"/>
          <w:szCs w:val="24"/>
        </w:rPr>
      </w:pPr>
      <w:r>
        <w:rPr>
          <w:rFonts w:hint="eastAsia" w:ascii="Times New Roman" w:hAnsi="Times New Roman" w:eastAsia="宋体"/>
          <w:bCs/>
          <w:sz w:val="24"/>
          <w:szCs w:val="24"/>
        </w:rPr>
        <w:t>（2）电磁除铁器一套，带宽1200mm、带速小于2.5m/s、励磁电压220V、驱动电机380V。</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bCs/>
          <w:sz w:val="24"/>
          <w:szCs w:val="24"/>
        </w:rPr>
      </w:pPr>
      <w:r>
        <w:rPr>
          <w:rFonts w:hint="eastAsia" w:ascii="Times New Roman" w:hAnsi="Times New Roman" w:eastAsia="宋体"/>
          <w:bCs/>
          <w:sz w:val="24"/>
          <w:szCs w:val="24"/>
        </w:rPr>
        <w:t>（3）混样器由中标人移位安装调试。</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bCs/>
          <w:sz w:val="24"/>
          <w:szCs w:val="24"/>
        </w:rPr>
      </w:pPr>
      <w:r>
        <w:rPr>
          <w:rFonts w:hint="eastAsia" w:ascii="Times New Roman" w:hAnsi="Times New Roman" w:eastAsia="宋体"/>
          <w:bCs/>
          <w:sz w:val="24"/>
          <w:szCs w:val="24"/>
        </w:rPr>
        <w:t>2.4皮带机防雨罩（参数见设备清单）：</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bCs/>
          <w:sz w:val="24"/>
          <w:szCs w:val="24"/>
        </w:rPr>
      </w:pPr>
      <w:r>
        <w:rPr>
          <w:rFonts w:hint="eastAsia" w:ascii="Times New Roman" w:hAnsi="Times New Roman" w:eastAsia="宋体"/>
          <w:bCs/>
          <w:sz w:val="24"/>
          <w:szCs w:val="24"/>
        </w:rPr>
        <w:t>（1）与皮带机配套，由投标人自行选择有资质的设计单位进行合作并提供有资质的图纸。</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bCs/>
          <w:sz w:val="24"/>
          <w:szCs w:val="24"/>
        </w:rPr>
      </w:pPr>
      <w:r>
        <w:rPr>
          <w:rFonts w:hint="eastAsia" w:ascii="Times New Roman" w:hAnsi="Times New Roman" w:eastAsia="宋体"/>
          <w:bCs/>
          <w:sz w:val="24"/>
          <w:szCs w:val="24"/>
        </w:rPr>
        <w:t>（2）由中标人提供材料并安装。</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bCs/>
          <w:sz w:val="24"/>
          <w:szCs w:val="24"/>
        </w:rPr>
      </w:pPr>
      <w:r>
        <w:rPr>
          <w:rFonts w:hint="eastAsia" w:ascii="Times New Roman" w:hAnsi="Times New Roman" w:eastAsia="宋体"/>
          <w:bCs/>
          <w:sz w:val="24"/>
          <w:szCs w:val="24"/>
        </w:rPr>
        <w:t>2.5木片卸车棚利旧（具体见现场）：</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bCs/>
          <w:sz w:val="24"/>
          <w:szCs w:val="24"/>
        </w:rPr>
      </w:pPr>
      <w:r>
        <w:rPr>
          <w:rFonts w:hint="eastAsia" w:ascii="Times New Roman" w:hAnsi="Times New Roman" w:eastAsia="宋体"/>
          <w:bCs/>
          <w:sz w:val="24"/>
          <w:szCs w:val="24"/>
        </w:rPr>
        <w:t>（1）棚顶按铝瓦翻新。长25米，宽12米。</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bCs/>
          <w:sz w:val="24"/>
          <w:szCs w:val="24"/>
        </w:rPr>
      </w:pPr>
      <w:r>
        <w:rPr>
          <w:rFonts w:hint="eastAsia" w:ascii="Times New Roman" w:hAnsi="Times New Roman" w:eastAsia="宋体"/>
          <w:bCs/>
          <w:sz w:val="24"/>
          <w:szCs w:val="24"/>
        </w:rPr>
        <w:t>（2）以现场为准，由中标人移位安装。</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bCs/>
          <w:sz w:val="24"/>
          <w:szCs w:val="24"/>
        </w:rPr>
      </w:pPr>
      <w:r>
        <w:rPr>
          <w:rFonts w:hint="eastAsia" w:ascii="Times New Roman" w:hAnsi="Times New Roman" w:eastAsia="宋体"/>
          <w:bCs/>
          <w:sz w:val="24"/>
          <w:szCs w:val="24"/>
        </w:rPr>
        <w:t>2.6平台、走台、防护栏杆等：</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bCs/>
          <w:sz w:val="24"/>
          <w:szCs w:val="24"/>
        </w:rPr>
      </w:pPr>
      <w:r>
        <w:rPr>
          <w:rFonts w:hint="eastAsia" w:ascii="Times New Roman" w:hAnsi="Times New Roman" w:eastAsia="宋体"/>
          <w:bCs/>
          <w:sz w:val="24"/>
          <w:szCs w:val="24"/>
        </w:rPr>
        <w:t>（1）平台、走台、防护栏杆根据现场情况按国家标准配套，预留检修空间。</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bCs/>
          <w:sz w:val="24"/>
          <w:szCs w:val="24"/>
        </w:rPr>
      </w:pPr>
      <w:r>
        <w:rPr>
          <w:rFonts w:hint="eastAsia" w:ascii="Times New Roman" w:hAnsi="Times New Roman" w:eastAsia="宋体"/>
          <w:bCs/>
          <w:sz w:val="24"/>
          <w:szCs w:val="24"/>
        </w:rPr>
        <w:t>（2）投标人自行选择有资质的设计单位进行合作，设计并提供正式有资质的图纸。</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bCs/>
          <w:sz w:val="24"/>
          <w:szCs w:val="24"/>
        </w:rPr>
      </w:pPr>
      <w:r>
        <w:rPr>
          <w:rFonts w:hint="eastAsia" w:ascii="Times New Roman" w:hAnsi="Times New Roman" w:eastAsia="宋体"/>
          <w:bCs/>
          <w:sz w:val="24"/>
          <w:szCs w:val="24"/>
        </w:rPr>
        <w:t>（3）由中标人提供材料并安装。</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bCs/>
          <w:sz w:val="24"/>
          <w:szCs w:val="24"/>
        </w:rPr>
      </w:pPr>
      <w:r>
        <w:rPr>
          <w:rFonts w:hint="eastAsia" w:ascii="Times New Roman" w:hAnsi="Times New Roman" w:eastAsia="宋体"/>
          <w:bCs/>
          <w:sz w:val="24"/>
          <w:szCs w:val="24"/>
        </w:rPr>
        <w:t>2.7配套电气设备、电气材料（含监控系统和空调）：</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bCs/>
          <w:sz w:val="24"/>
          <w:szCs w:val="24"/>
        </w:rPr>
      </w:pPr>
      <w:r>
        <w:rPr>
          <w:rFonts w:hint="eastAsia" w:ascii="Times New Roman" w:hAnsi="Times New Roman" w:eastAsia="宋体"/>
          <w:bCs/>
          <w:sz w:val="24"/>
          <w:szCs w:val="24"/>
        </w:rPr>
        <w:t>（1）能利旧的电气设备、电气材料（含监控系统和空调）由中标人与招标人共同确认后，由中标人进行移位安装调试。</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bCs/>
          <w:sz w:val="24"/>
          <w:szCs w:val="24"/>
        </w:rPr>
      </w:pPr>
      <w:r>
        <w:rPr>
          <w:rFonts w:hint="eastAsia" w:ascii="Times New Roman" w:hAnsi="Times New Roman" w:eastAsia="宋体"/>
          <w:bCs/>
          <w:sz w:val="24"/>
          <w:szCs w:val="24"/>
        </w:rPr>
        <w:t>（2）新增电气设备、电气材料由中标人提供并安装调试。</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bCs/>
          <w:sz w:val="24"/>
          <w:szCs w:val="24"/>
        </w:rPr>
      </w:pPr>
      <w:r>
        <w:rPr>
          <w:rFonts w:hint="eastAsia" w:ascii="Times New Roman" w:hAnsi="Times New Roman" w:eastAsia="宋体"/>
          <w:bCs/>
          <w:sz w:val="24"/>
          <w:szCs w:val="24"/>
        </w:rPr>
        <w:t>（3）投标人自行选择有资质的设计单位进行合作，设计并提供正式有资质的图纸。</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bCs/>
          <w:sz w:val="24"/>
          <w:szCs w:val="24"/>
        </w:rPr>
      </w:pPr>
      <w:r>
        <w:rPr>
          <w:rFonts w:hint="eastAsia" w:ascii="Times New Roman" w:hAnsi="Times New Roman" w:eastAsia="宋体"/>
          <w:bCs/>
          <w:sz w:val="24"/>
          <w:szCs w:val="24"/>
        </w:rPr>
        <w:t>2.8投标人投标时应提供新增设备参数和项目技术方案。</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bCs/>
          <w:sz w:val="24"/>
          <w:szCs w:val="24"/>
        </w:rPr>
      </w:pPr>
      <w:r>
        <w:rPr>
          <w:rFonts w:hint="eastAsia" w:ascii="Times New Roman" w:hAnsi="Times New Roman" w:eastAsia="宋体"/>
          <w:bCs/>
          <w:sz w:val="24"/>
          <w:szCs w:val="24"/>
        </w:rPr>
        <w:t>（1）投标时必须有能说明标的的图纸，所有设备的性能参数，项目技术方案、施工方案；</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bCs/>
          <w:sz w:val="24"/>
          <w:szCs w:val="24"/>
        </w:rPr>
      </w:pPr>
      <w:r>
        <w:rPr>
          <w:rFonts w:hint="eastAsia" w:ascii="Times New Roman" w:hAnsi="Times New Roman" w:eastAsia="宋体"/>
          <w:bCs/>
          <w:sz w:val="24"/>
          <w:szCs w:val="24"/>
        </w:rPr>
        <w:t>（2）正式的图纸交付必须能满足土建施工的进度。</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bCs/>
          <w:sz w:val="24"/>
          <w:szCs w:val="24"/>
        </w:rPr>
      </w:pPr>
      <w:r>
        <w:rPr>
          <w:rFonts w:hint="eastAsia" w:ascii="Times New Roman" w:hAnsi="Times New Roman" w:eastAsia="宋体"/>
          <w:bCs/>
          <w:sz w:val="24"/>
          <w:szCs w:val="24"/>
        </w:rPr>
        <w:t>（3）招标人提供7份初步图纸供参考，分别是：备料分厂（南区）木片上料系统改造设备布置图、备料南区设备采购清单、备料分厂（南区）木片上料系统改造1~3、电气设计01修、电气设计02修。</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bCs/>
          <w:sz w:val="24"/>
          <w:szCs w:val="24"/>
        </w:rPr>
      </w:pPr>
      <w:r>
        <w:rPr>
          <w:rFonts w:hint="eastAsia" w:ascii="Times New Roman" w:hAnsi="Times New Roman" w:eastAsia="宋体"/>
          <w:bCs/>
          <w:sz w:val="24"/>
          <w:szCs w:val="24"/>
        </w:rPr>
        <w:t>2.9包工包料（除利旧部分外）完成设计采购制造施工安装工程（含土建）。</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bCs/>
          <w:sz w:val="24"/>
          <w:szCs w:val="24"/>
        </w:rPr>
      </w:pPr>
      <w:r>
        <w:rPr>
          <w:rFonts w:hint="eastAsia" w:ascii="Times New Roman" w:hAnsi="Times New Roman" w:eastAsia="宋体"/>
          <w:bCs/>
          <w:sz w:val="24"/>
          <w:szCs w:val="24"/>
        </w:rPr>
        <w:t>2.10安全技术要求：</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bCs/>
          <w:sz w:val="24"/>
          <w:szCs w:val="24"/>
        </w:rPr>
      </w:pPr>
      <w:r>
        <w:rPr>
          <w:rFonts w:hint="eastAsia" w:ascii="Times New Roman" w:hAnsi="Times New Roman" w:eastAsia="宋体"/>
          <w:bCs/>
          <w:sz w:val="24"/>
          <w:szCs w:val="24"/>
        </w:rPr>
        <w:t>施工现场的周围为木片堆场，属于重点防火区域，为杜绝施工造成周边堆场易燃生产物料及飞扬的木屑引起火灾隐患，施工方应具有安全生产许可证，项目设置专职安全员，投标人在投标时应提供项目技术方案，方案中应有安全措施及专项防火方案。落实项目责任人和现场专职安全管理员，建立健全工程项目安全规章制度和安全操作规程。</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ascii="Times New Roman" w:hAnsi="Times New Roman" w:eastAsia="宋体"/>
          <w:b/>
          <w:sz w:val="24"/>
          <w:szCs w:val="24"/>
        </w:rPr>
      </w:pPr>
      <w:r>
        <w:rPr>
          <w:rFonts w:hint="eastAsia" w:ascii="Times New Roman" w:hAnsi="Times New Roman" w:eastAsia="宋体"/>
          <w:b/>
          <w:sz w:val="24"/>
          <w:szCs w:val="24"/>
        </w:rPr>
        <w:t>3.工期及地点</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bCs/>
          <w:sz w:val="24"/>
          <w:szCs w:val="24"/>
        </w:rPr>
      </w:pPr>
      <w:r>
        <w:rPr>
          <w:rFonts w:hint="eastAsia" w:ascii="Times New Roman" w:hAnsi="Times New Roman" w:eastAsia="宋体"/>
          <w:bCs/>
          <w:sz w:val="24"/>
          <w:szCs w:val="24"/>
        </w:rPr>
        <w:t>3.1工期：投标人承诺最短设备交货期及现场施工工期。</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b/>
          <w:sz w:val="24"/>
          <w:szCs w:val="24"/>
        </w:rPr>
      </w:pPr>
      <w:r>
        <w:rPr>
          <w:rFonts w:hint="eastAsia" w:ascii="Times New Roman" w:hAnsi="Times New Roman" w:eastAsia="宋体"/>
          <w:bCs/>
          <w:sz w:val="24"/>
          <w:szCs w:val="24"/>
        </w:rPr>
        <w:t>3.2地点：福建省三明市沙县区青州镇福建省青山纸业股份有限公司指定区域内。</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ascii="Times New Roman" w:hAnsi="Times New Roman" w:eastAsia="宋体"/>
          <w:b/>
          <w:sz w:val="24"/>
          <w:szCs w:val="24"/>
        </w:rPr>
      </w:pPr>
      <w:r>
        <w:rPr>
          <w:rFonts w:hint="eastAsia" w:ascii="Times New Roman" w:hAnsi="Times New Roman" w:eastAsia="宋体"/>
          <w:b/>
          <w:sz w:val="24"/>
          <w:szCs w:val="24"/>
        </w:rPr>
        <w:t>4.对投标人资格要求</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bCs/>
          <w:sz w:val="24"/>
          <w:szCs w:val="24"/>
        </w:rPr>
      </w:pPr>
      <w:r>
        <w:rPr>
          <w:rFonts w:hint="eastAsia" w:ascii="Times New Roman" w:hAnsi="Times New Roman" w:eastAsia="宋体"/>
          <w:bCs/>
          <w:sz w:val="24"/>
          <w:szCs w:val="24"/>
        </w:rPr>
        <w:t>4.1投标人应是具备独立法人资格，有资质和有能力提供服务、信用良好的国内企业。</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bCs/>
          <w:sz w:val="24"/>
          <w:szCs w:val="24"/>
        </w:rPr>
      </w:pPr>
      <w:r>
        <w:rPr>
          <w:rFonts w:hint="eastAsia" w:ascii="Times New Roman" w:hAnsi="Times New Roman" w:eastAsia="宋体"/>
          <w:bCs/>
          <w:sz w:val="24"/>
          <w:szCs w:val="24"/>
        </w:rPr>
        <w:t>4.2投标人或其土建施工单位应具有住建部建筑工程总承包叁级或以上资质，同时投标人或其设备安装单位还应具有住建部机电安装工程专业承包叁级或以上资质。施工区域为一级防火区，要求投标人的现场施工单位应具有安全生产许可证；项目专职安全员必须具有建设行政主管部门颁发的C类安全员资格证书。（证书必须属于投标人的现场施工单位并在标书体现）</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bCs/>
          <w:sz w:val="24"/>
          <w:szCs w:val="24"/>
        </w:rPr>
      </w:pPr>
      <w:r>
        <w:rPr>
          <w:rFonts w:hint="eastAsia" w:ascii="Times New Roman" w:hAnsi="Times New Roman" w:eastAsia="宋体"/>
          <w:bCs/>
          <w:sz w:val="24"/>
          <w:szCs w:val="24"/>
        </w:rPr>
        <w:t>4.3所有有意向参与单位应与青山纸业备料分厂进行详细技术交流（交流时投标人提供相应资质证明），否则视同放弃投标资格。（以设备部开具的技术交流证明为准，投标文件中应附上此证明）</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bCs/>
          <w:sz w:val="24"/>
          <w:szCs w:val="24"/>
        </w:rPr>
        <w:t>5.双方职责</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rPr>
        <w:t>5.1</w:t>
      </w:r>
      <w:r>
        <w:rPr>
          <w:rFonts w:ascii="Times New Roman" w:hAnsi="Times New Roman" w:eastAsia="宋体"/>
          <w:sz w:val="24"/>
          <w:szCs w:val="24"/>
        </w:rPr>
        <w:t>招标方负责提供现场照明、水源、施工电源（含费用），招标方负责现场清理至施工合理要求。</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rPr>
        <w:t>5</w:t>
      </w:r>
      <w:r>
        <w:rPr>
          <w:rFonts w:ascii="Times New Roman" w:hAnsi="Times New Roman" w:eastAsia="宋体"/>
          <w:sz w:val="24"/>
          <w:szCs w:val="24"/>
        </w:rPr>
        <w:t>.2投标方应提供施工方案（包括安全措施），施工现场周边为一级防火区，中标方应提供专项防火施工方案。投标方需提供详细技术施工方案、施工工期，并按双方最终确定改造方案实施。投标方对改造方案的合理性、可行性负责，并应在投标时做出质量和技术指标的承诺。中标方制作完成应提供相关检验材料及证明。施工前须办理开工报告，并交纳安全保证金5000元。</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rPr>
        <w:t>5</w:t>
      </w:r>
      <w:r>
        <w:rPr>
          <w:rFonts w:ascii="Times New Roman" w:hAnsi="Times New Roman" w:eastAsia="宋体"/>
          <w:sz w:val="24"/>
          <w:szCs w:val="24"/>
        </w:rPr>
        <w:t>.3中标方包工包料进行施工。项目所需的主材、辅材及焊接、打磨、修补的材料及施工均由中标方负责。</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rPr>
        <w:t>5</w:t>
      </w:r>
      <w:r>
        <w:rPr>
          <w:rFonts w:ascii="Times New Roman" w:hAnsi="Times New Roman" w:eastAsia="宋体"/>
          <w:sz w:val="24"/>
          <w:szCs w:val="24"/>
        </w:rPr>
        <w:t>.4施工方自备所有施工工具。</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rPr>
        <w:t>5</w:t>
      </w:r>
      <w:r>
        <w:rPr>
          <w:rFonts w:ascii="Times New Roman" w:hAnsi="Times New Roman" w:eastAsia="宋体"/>
          <w:sz w:val="24"/>
          <w:szCs w:val="24"/>
        </w:rPr>
        <w:t>.5运输费用、起重作业、脚手架、食宿由施工方负责。</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rPr>
        <w:t>5</w:t>
      </w:r>
      <w:r>
        <w:rPr>
          <w:rFonts w:ascii="Times New Roman" w:hAnsi="Times New Roman" w:eastAsia="宋体"/>
          <w:sz w:val="24"/>
          <w:szCs w:val="24"/>
        </w:rPr>
        <w:t>.6每道工序施工前必须由招标方指定人员确认前道工序合格后方可施工。</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rPr>
        <w:t>5</w:t>
      </w:r>
      <w:r>
        <w:rPr>
          <w:rFonts w:ascii="Times New Roman" w:hAnsi="Times New Roman" w:eastAsia="宋体"/>
          <w:sz w:val="24"/>
          <w:szCs w:val="24"/>
        </w:rPr>
        <w:t>.7施工方在施工过程中应采取必要的安全防范措施，施工期确保招标方设备的安全，若施工方原因造成设备的损坏，施工方应负责赔偿损失。施工现场周边为一级防火区，为保证项目的安全管理工作，专职安全员均应到场，并尽职履行现场安全管理责任。</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rPr>
        <w:t>5</w:t>
      </w:r>
      <w:r>
        <w:rPr>
          <w:rFonts w:ascii="Times New Roman" w:hAnsi="Times New Roman" w:eastAsia="宋体"/>
          <w:sz w:val="24"/>
          <w:szCs w:val="24"/>
        </w:rPr>
        <w:t>.8施工方在施工过程中废弃的物品应堆放在招标方指定的地点。</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rPr>
        <w:t>5</w:t>
      </w:r>
      <w:r>
        <w:rPr>
          <w:rFonts w:ascii="Times New Roman" w:hAnsi="Times New Roman" w:eastAsia="宋体"/>
          <w:sz w:val="24"/>
          <w:szCs w:val="24"/>
        </w:rPr>
        <w:t>.9施工方施工垃圾应及时清理干净，保持现场整洁。</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bCs/>
          <w:sz w:val="24"/>
          <w:szCs w:val="24"/>
        </w:rPr>
        <w:t>6.安全责任</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rPr>
        <w:t>6.1中标方</w:t>
      </w:r>
      <w:r>
        <w:rPr>
          <w:rFonts w:ascii="Times New Roman" w:hAnsi="Times New Roman" w:eastAsia="宋体"/>
          <w:sz w:val="24"/>
          <w:szCs w:val="24"/>
        </w:rPr>
        <w:t>在施工工程中必须严格遵守国家、建设部、福建省等有关安全技术规范及中华人民共和国现行的法律、法规、政策、规定和规章中关于安全、劳保、防疫、卫生的条例。</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rPr>
        <w:t>6</w:t>
      </w:r>
      <w:r>
        <w:rPr>
          <w:rFonts w:ascii="Times New Roman" w:hAnsi="Times New Roman" w:eastAsia="宋体"/>
          <w:sz w:val="24"/>
          <w:szCs w:val="24"/>
        </w:rPr>
        <w:t>.2</w:t>
      </w:r>
      <w:r>
        <w:rPr>
          <w:rFonts w:hint="eastAsia" w:ascii="Times New Roman" w:hAnsi="Times New Roman" w:eastAsia="宋体"/>
          <w:sz w:val="24"/>
          <w:szCs w:val="24"/>
        </w:rPr>
        <w:t>中标方</w:t>
      </w:r>
      <w:r>
        <w:rPr>
          <w:rFonts w:ascii="Times New Roman" w:hAnsi="Times New Roman" w:eastAsia="宋体"/>
          <w:sz w:val="24"/>
          <w:szCs w:val="24"/>
        </w:rPr>
        <w:t>必须对工作过程中的安全和损失预防的程序负责。</w:t>
      </w:r>
      <w:r>
        <w:rPr>
          <w:rFonts w:hint="eastAsia" w:ascii="Times New Roman" w:hAnsi="Times New Roman" w:eastAsia="宋体"/>
          <w:sz w:val="24"/>
          <w:szCs w:val="24"/>
        </w:rPr>
        <w:t>中标方</w:t>
      </w:r>
      <w:r>
        <w:rPr>
          <w:rFonts w:ascii="Times New Roman" w:hAnsi="Times New Roman" w:eastAsia="宋体"/>
          <w:sz w:val="24"/>
          <w:szCs w:val="24"/>
        </w:rPr>
        <w:t>施工前须按规定办理开工报告并交纳安全保证金5000元。</w:t>
      </w:r>
      <w:r>
        <w:rPr>
          <w:rFonts w:hint="eastAsia" w:ascii="Times New Roman" w:hAnsi="Times New Roman" w:eastAsia="宋体"/>
          <w:sz w:val="24"/>
          <w:szCs w:val="24"/>
        </w:rPr>
        <w:t>中标方</w:t>
      </w:r>
      <w:r>
        <w:rPr>
          <w:rFonts w:ascii="Times New Roman" w:hAnsi="Times New Roman" w:eastAsia="宋体"/>
          <w:sz w:val="24"/>
          <w:szCs w:val="24"/>
        </w:rPr>
        <w:t>施工前必须签署安全协议书。</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rPr>
        <w:t>6</w:t>
      </w:r>
      <w:r>
        <w:rPr>
          <w:rFonts w:ascii="Times New Roman" w:hAnsi="Times New Roman" w:eastAsia="宋体"/>
          <w:sz w:val="24"/>
          <w:szCs w:val="24"/>
        </w:rPr>
        <w:t>.3</w:t>
      </w:r>
      <w:r>
        <w:rPr>
          <w:rFonts w:hint="eastAsia" w:ascii="Times New Roman" w:hAnsi="Times New Roman" w:eastAsia="宋体"/>
          <w:sz w:val="24"/>
          <w:szCs w:val="24"/>
        </w:rPr>
        <w:t>招标方</w:t>
      </w:r>
      <w:r>
        <w:rPr>
          <w:rFonts w:ascii="Times New Roman" w:hAnsi="Times New Roman" w:eastAsia="宋体"/>
          <w:sz w:val="24"/>
          <w:szCs w:val="24"/>
        </w:rPr>
        <w:t>所支付管理费中已包含安全管理费用，</w:t>
      </w:r>
      <w:r>
        <w:rPr>
          <w:rFonts w:hint="eastAsia" w:ascii="Times New Roman" w:hAnsi="Times New Roman" w:eastAsia="宋体"/>
          <w:sz w:val="24"/>
          <w:szCs w:val="24"/>
        </w:rPr>
        <w:t>中标方</w:t>
      </w:r>
      <w:r>
        <w:rPr>
          <w:rFonts w:ascii="Times New Roman" w:hAnsi="Times New Roman" w:eastAsia="宋体"/>
          <w:sz w:val="24"/>
          <w:szCs w:val="24"/>
        </w:rPr>
        <w:t>应根据有关劳保规定发给其所属人员必要的个人防护用品，以保障安全。</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rPr>
        <w:t>6</w:t>
      </w:r>
      <w:r>
        <w:rPr>
          <w:rFonts w:ascii="Times New Roman" w:hAnsi="Times New Roman" w:eastAsia="宋体"/>
          <w:sz w:val="24"/>
          <w:szCs w:val="24"/>
        </w:rPr>
        <w:t>.4</w:t>
      </w:r>
      <w:r>
        <w:rPr>
          <w:rFonts w:hint="eastAsia" w:ascii="Times New Roman" w:hAnsi="Times New Roman" w:eastAsia="宋体"/>
          <w:sz w:val="24"/>
          <w:szCs w:val="24"/>
        </w:rPr>
        <w:t>中标方</w:t>
      </w:r>
      <w:r>
        <w:rPr>
          <w:rFonts w:ascii="Times New Roman" w:hAnsi="Times New Roman" w:eastAsia="宋体"/>
          <w:sz w:val="24"/>
          <w:szCs w:val="24"/>
        </w:rPr>
        <w:t>按有关规定，采取严格的安全防护措施。</w:t>
      </w:r>
      <w:r>
        <w:rPr>
          <w:rFonts w:hint="eastAsia" w:ascii="Times New Roman" w:hAnsi="Times New Roman" w:eastAsia="宋体"/>
          <w:sz w:val="24"/>
          <w:szCs w:val="24"/>
        </w:rPr>
        <w:t>中标方</w:t>
      </w:r>
      <w:r>
        <w:rPr>
          <w:rFonts w:ascii="Times New Roman" w:hAnsi="Times New Roman" w:eastAsia="宋体"/>
          <w:sz w:val="24"/>
          <w:szCs w:val="24"/>
        </w:rPr>
        <w:t>应承担该项目由于自身安全措施不力造成安全事故的责任和因此发生的费用。</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rPr>
        <w:t>6</w:t>
      </w:r>
      <w:r>
        <w:rPr>
          <w:rFonts w:ascii="Times New Roman" w:hAnsi="Times New Roman" w:eastAsia="宋体"/>
          <w:sz w:val="24"/>
          <w:szCs w:val="24"/>
        </w:rPr>
        <w:t>.5发生重大伤亡事故，</w:t>
      </w:r>
      <w:r>
        <w:rPr>
          <w:rFonts w:hint="eastAsia" w:ascii="Times New Roman" w:hAnsi="Times New Roman" w:eastAsia="宋体"/>
          <w:sz w:val="24"/>
          <w:szCs w:val="24"/>
        </w:rPr>
        <w:t>中标方</w:t>
      </w:r>
      <w:r>
        <w:rPr>
          <w:rFonts w:ascii="Times New Roman" w:hAnsi="Times New Roman" w:eastAsia="宋体"/>
          <w:sz w:val="24"/>
          <w:szCs w:val="24"/>
        </w:rPr>
        <w:t>应按有关规定立即上报有关部门并通知</w:t>
      </w:r>
      <w:r>
        <w:rPr>
          <w:rFonts w:hint="eastAsia" w:ascii="Times New Roman" w:hAnsi="Times New Roman" w:eastAsia="宋体"/>
          <w:sz w:val="24"/>
          <w:szCs w:val="24"/>
        </w:rPr>
        <w:t>招标方</w:t>
      </w:r>
      <w:r>
        <w:rPr>
          <w:rFonts w:ascii="Times New Roman" w:hAnsi="Times New Roman" w:eastAsia="宋体"/>
          <w:sz w:val="24"/>
          <w:szCs w:val="24"/>
        </w:rPr>
        <w:t>代表。同时按政府有关部门要求处理。</w:t>
      </w:r>
      <w:r>
        <w:rPr>
          <w:rFonts w:hint="eastAsia" w:ascii="Times New Roman" w:hAnsi="Times New Roman" w:eastAsia="宋体"/>
          <w:sz w:val="24"/>
          <w:szCs w:val="24"/>
        </w:rPr>
        <w:t>招标方</w:t>
      </w:r>
      <w:r>
        <w:rPr>
          <w:rFonts w:ascii="Times New Roman" w:hAnsi="Times New Roman" w:eastAsia="宋体"/>
          <w:sz w:val="24"/>
          <w:szCs w:val="24"/>
        </w:rPr>
        <w:t>为抢救提供必要条件。发生的费用由事故责任方承担。</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ascii="Times New Roman" w:hAnsi="Times New Roman" w:eastAsia="宋体"/>
          <w:bCs/>
          <w:sz w:val="24"/>
          <w:szCs w:val="24"/>
        </w:rPr>
      </w:pPr>
      <w:r>
        <w:rPr>
          <w:rFonts w:hint="eastAsia" w:ascii="Times New Roman" w:hAnsi="Times New Roman" w:eastAsia="宋体"/>
          <w:b/>
          <w:sz w:val="24"/>
          <w:szCs w:val="24"/>
        </w:rPr>
        <w:t>7.质量保证</w:t>
      </w:r>
      <w:r>
        <w:rPr>
          <w:rFonts w:hint="eastAsia" w:ascii="Times New Roman" w:hAnsi="Times New Roman" w:eastAsia="宋体"/>
          <w:bCs/>
          <w:sz w:val="24"/>
          <w:szCs w:val="24"/>
        </w:rPr>
        <w:t>：质量保证期为验收合格后12个月，投标人可承诺更长的质保期。</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ascii="Times New Roman" w:hAnsi="Times New Roman" w:eastAsia="宋体"/>
          <w:b/>
          <w:sz w:val="24"/>
          <w:szCs w:val="24"/>
        </w:rPr>
      </w:pPr>
      <w:r>
        <w:rPr>
          <w:rFonts w:hint="eastAsia" w:ascii="Times New Roman" w:hAnsi="Times New Roman" w:eastAsia="宋体"/>
          <w:b/>
          <w:sz w:val="24"/>
          <w:szCs w:val="24"/>
        </w:rPr>
        <w:t>8.付款方式</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bCs/>
          <w:sz w:val="24"/>
          <w:szCs w:val="24"/>
        </w:rPr>
      </w:pPr>
      <w:r>
        <w:rPr>
          <w:rFonts w:hint="eastAsia" w:ascii="Times New Roman" w:hAnsi="Times New Roman" w:eastAsia="宋体"/>
          <w:bCs/>
          <w:sz w:val="24"/>
          <w:szCs w:val="24"/>
        </w:rPr>
        <w:t>8.1本工程不支付预付款和工程进度款，工程验收合格后招标方财务部收到全额发票45天支付工程总合同价的90%（银行承兑汇票），质保金为总合同价的10%，在质保期满后三十天内付清，质保金不计利息。人民币报价和结算，中标人开具增值税专用发票（税率必须在标书报价中说明，经招标方认可）。</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bCs/>
          <w:sz w:val="24"/>
          <w:szCs w:val="24"/>
        </w:rPr>
      </w:pPr>
      <w:r>
        <w:rPr>
          <w:rFonts w:hint="eastAsia" w:ascii="Times New Roman" w:hAnsi="Times New Roman" w:eastAsia="宋体"/>
          <w:bCs/>
          <w:sz w:val="24"/>
          <w:szCs w:val="24"/>
        </w:rPr>
        <w:t>8.2合同款分设备和施工二项，设备和材料的税率为13%，施工税率投标时说明，经招标方认可。</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ascii="Times New Roman" w:hAnsi="Times New Roman" w:eastAsia="宋体"/>
          <w:bCs/>
          <w:sz w:val="24"/>
          <w:szCs w:val="24"/>
        </w:rPr>
      </w:pPr>
      <w:r>
        <w:rPr>
          <w:rFonts w:hint="eastAsia" w:ascii="Times New Roman" w:hAnsi="Times New Roman" w:eastAsia="宋体"/>
          <w:b/>
          <w:sz w:val="24"/>
          <w:szCs w:val="24"/>
        </w:rPr>
        <w:t>8.3</w:t>
      </w:r>
      <w:r>
        <w:rPr>
          <w:rFonts w:ascii="Times New Roman" w:hAnsi="Times New Roman" w:eastAsia="宋体"/>
          <w:b/>
          <w:sz w:val="24"/>
          <w:szCs w:val="24"/>
        </w:rPr>
        <w:t>付款方式不得偏离，否则投标将被否决</w:t>
      </w:r>
      <w:r>
        <w:rPr>
          <w:rFonts w:ascii="Times New Roman" w:hAnsi="Times New Roman" w:eastAsia="宋体"/>
          <w:bCs/>
          <w:sz w:val="24"/>
          <w:szCs w:val="24"/>
        </w:rPr>
        <w:t>。</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sz w:val="24"/>
          <w:szCs w:val="24"/>
        </w:rPr>
        <w:t>9.报价规定</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rPr>
        <w:t>9.1</w:t>
      </w:r>
      <w:r>
        <w:rPr>
          <w:rFonts w:ascii="Times New Roman" w:hAnsi="Times New Roman" w:eastAsia="宋体"/>
          <w:sz w:val="24"/>
          <w:szCs w:val="24"/>
        </w:rPr>
        <w:t>本次招标</w:t>
      </w:r>
      <w:r>
        <w:rPr>
          <w:rFonts w:hint="eastAsia" w:ascii="Times New Roman" w:hAnsi="Times New Roman" w:eastAsia="宋体"/>
          <w:sz w:val="24"/>
          <w:szCs w:val="24"/>
        </w:rPr>
        <w:t>原则上</w:t>
      </w:r>
      <w:r>
        <w:rPr>
          <w:rFonts w:ascii="Times New Roman" w:hAnsi="Times New Roman" w:eastAsia="宋体"/>
          <w:sz w:val="24"/>
          <w:szCs w:val="24"/>
        </w:rPr>
        <w:t>采取一次性报价方式。</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rPr>
        <w:t>9.2报价以一票制方式结算，中标人须开具增值税专用发票。</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rPr>
        <w:t>9.3报价分设备和施工二项，设备和材料税率为13%，安装施工税率投标时说明，经招标人认可。</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rPr>
        <w:t>9.4本项目设置招标控制价为壹佰捌拾万元整（¥1800000）。</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sz w:val="24"/>
          <w:szCs w:val="24"/>
        </w:rPr>
        <w:t>10.评标办法</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rPr>
        <w:t>10.1本项目采用综合评估法评标。经综合评审得分排名第一名的投标人确定为中标候选人，中标候选人将在本公司网站上公示三天，无异议后转为中标人。</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rPr>
        <w:t>10.2投标人报价超过招标控制价的，则否决其投标。</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rPr>
        <w:t>10</w:t>
      </w:r>
      <w:r>
        <w:rPr>
          <w:rFonts w:ascii="Times New Roman" w:hAnsi="Times New Roman" w:eastAsia="宋体"/>
          <w:sz w:val="24"/>
          <w:szCs w:val="24"/>
        </w:rPr>
        <w:t>.</w:t>
      </w:r>
      <w:r>
        <w:rPr>
          <w:rFonts w:hint="eastAsia" w:ascii="Times New Roman" w:hAnsi="Times New Roman" w:eastAsia="宋体"/>
          <w:sz w:val="24"/>
          <w:szCs w:val="24"/>
        </w:rPr>
        <w:t>3</w:t>
      </w:r>
      <w:r>
        <w:rPr>
          <w:rFonts w:ascii="Times New Roman" w:hAnsi="Times New Roman" w:eastAsia="宋体"/>
          <w:sz w:val="24"/>
          <w:szCs w:val="24"/>
        </w:rPr>
        <w:t>评分项目：</w:t>
      </w:r>
    </w:p>
    <w:tbl>
      <w:tblPr>
        <w:tblStyle w:val="11"/>
        <w:tblW w:w="842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
      <w:tblGrid>
        <w:gridCol w:w="709"/>
        <w:gridCol w:w="1418"/>
        <w:gridCol w:w="708"/>
        <w:gridCol w:w="558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360" w:hRule="atLeast"/>
          <w:jc w:val="center"/>
        </w:trPr>
        <w:tc>
          <w:tcPr>
            <w:tcW w:w="709"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序号</w:t>
            </w:r>
          </w:p>
        </w:tc>
        <w:tc>
          <w:tcPr>
            <w:tcW w:w="1418"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评议内容</w:t>
            </w:r>
          </w:p>
        </w:tc>
        <w:tc>
          <w:tcPr>
            <w:tcW w:w="708"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分值</w:t>
            </w:r>
          </w:p>
        </w:tc>
        <w:tc>
          <w:tcPr>
            <w:tcW w:w="5587"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评议办法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1</w:t>
            </w:r>
          </w:p>
        </w:tc>
        <w:tc>
          <w:tcPr>
            <w:tcW w:w="1418"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投标评审价</w:t>
            </w:r>
          </w:p>
        </w:tc>
        <w:tc>
          <w:tcPr>
            <w:tcW w:w="708"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6</w:t>
            </w:r>
            <w:r>
              <w:rPr>
                <w:rFonts w:ascii="Times New Roman" w:hAnsi="Times New Roman" w:eastAsia="宋体" w:cs="Times New Roman"/>
                <w:kern w:val="0"/>
                <w:szCs w:val="21"/>
              </w:rPr>
              <w:t>0分</w:t>
            </w:r>
          </w:p>
        </w:tc>
        <w:tc>
          <w:tcPr>
            <w:tcW w:w="5587" w:type="dxa"/>
            <w:shd w:val="clear" w:color="auto" w:fill="FFFFFF"/>
            <w:tcMar>
              <w:top w:w="0" w:type="dxa"/>
              <w:left w:w="108" w:type="dxa"/>
              <w:bottom w:w="0" w:type="dxa"/>
              <w:right w:w="108" w:type="dxa"/>
            </w:tcMar>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当AG＞1.1AD时，F=60-（A-AD）÷（AG-AD）×6</w:t>
            </w:r>
          </w:p>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当AG≤1.1AD时，F=60-（A-AD）÷AD×60</w:t>
            </w:r>
          </w:p>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其中：F为投标评审价分；</w:t>
            </w:r>
          </w:p>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A 为投标评审价；</w:t>
            </w:r>
          </w:p>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AG为最高投标评审价；</w:t>
            </w:r>
          </w:p>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AD为最低投标评审价。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2</w:t>
            </w:r>
          </w:p>
        </w:tc>
        <w:tc>
          <w:tcPr>
            <w:tcW w:w="1418"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技术评审</w:t>
            </w:r>
          </w:p>
        </w:tc>
        <w:tc>
          <w:tcPr>
            <w:tcW w:w="708"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35</w:t>
            </w:r>
            <w:r>
              <w:rPr>
                <w:rFonts w:ascii="Times New Roman" w:hAnsi="Times New Roman" w:eastAsia="宋体" w:cs="Times New Roman"/>
                <w:kern w:val="0"/>
                <w:szCs w:val="21"/>
              </w:rPr>
              <w:t>分</w:t>
            </w:r>
          </w:p>
        </w:tc>
        <w:tc>
          <w:tcPr>
            <w:tcW w:w="5587" w:type="dxa"/>
            <w:shd w:val="clear" w:color="auto" w:fill="FFFFFF"/>
            <w:tcMar>
              <w:top w:w="0" w:type="dxa"/>
              <w:left w:w="108" w:type="dxa"/>
              <w:bottom w:w="0" w:type="dxa"/>
              <w:right w:w="108" w:type="dxa"/>
            </w:tcMar>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①设备的技术参数满足要求的程度：10分；</w:t>
            </w:r>
          </w:p>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②投标人的主要、材料、设计、施工方案、安装调试方案等：15分；</w:t>
            </w:r>
          </w:p>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③安全措施和专项防火技术方案：5分；</w:t>
            </w:r>
          </w:p>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④工期：5分，最短工期得最高分，其他按比例打分，F=5-（A-AD）÷（AG-AD）×5</w:t>
            </w:r>
          </w:p>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⑤不满足技术要求及施工安全的，按废标处理</w:t>
            </w:r>
            <w:r>
              <w:rPr>
                <w:rFonts w:ascii="Times New Roman" w:hAnsi="Times New Roman" w:eastAsia="宋体" w:cs="Times New Roman"/>
                <w:kern w:val="0"/>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3</w:t>
            </w:r>
          </w:p>
        </w:tc>
        <w:tc>
          <w:tcPr>
            <w:tcW w:w="1418"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业绩及售后服务</w:t>
            </w:r>
          </w:p>
        </w:tc>
        <w:tc>
          <w:tcPr>
            <w:tcW w:w="708"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5</w:t>
            </w:r>
            <w:r>
              <w:rPr>
                <w:rFonts w:ascii="Times New Roman" w:hAnsi="Times New Roman" w:eastAsia="宋体" w:cs="Times New Roman"/>
                <w:kern w:val="0"/>
                <w:szCs w:val="21"/>
              </w:rPr>
              <w:t>分</w:t>
            </w:r>
          </w:p>
        </w:tc>
        <w:tc>
          <w:tcPr>
            <w:tcW w:w="5587" w:type="dxa"/>
            <w:shd w:val="clear" w:color="auto" w:fill="FFFFFF"/>
            <w:tcMar>
              <w:top w:w="0" w:type="dxa"/>
              <w:left w:w="108" w:type="dxa"/>
              <w:bottom w:w="0" w:type="dxa"/>
              <w:right w:w="108" w:type="dxa"/>
            </w:tcMar>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①类似业绩：4分（以合同复印件为准，三年内每份合同1分，封顶4分）；</w:t>
            </w:r>
          </w:p>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②质保承诺：1分（1年0分，1年以上每增加六个月得0.5分，最高1分）。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462" w:hRule="atLeast"/>
          <w:jc w:val="center"/>
        </w:trPr>
        <w:tc>
          <w:tcPr>
            <w:tcW w:w="709"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4</w:t>
            </w:r>
          </w:p>
        </w:tc>
        <w:tc>
          <w:tcPr>
            <w:tcW w:w="1418"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付款方式</w:t>
            </w:r>
          </w:p>
        </w:tc>
        <w:tc>
          <w:tcPr>
            <w:tcW w:w="708"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宋体" w:hAnsi="宋体" w:eastAsia="宋体" w:cs="宋体"/>
                <w:kern w:val="0"/>
                <w:szCs w:val="21"/>
              </w:rPr>
              <w:t>/</w:t>
            </w:r>
          </w:p>
        </w:tc>
        <w:tc>
          <w:tcPr>
            <w:tcW w:w="5587" w:type="dxa"/>
            <w:shd w:val="clear" w:color="auto" w:fill="FFFFFF"/>
            <w:tcMar>
              <w:top w:w="0" w:type="dxa"/>
              <w:left w:w="108" w:type="dxa"/>
              <w:bottom w:w="0" w:type="dxa"/>
              <w:right w:w="108" w:type="dxa"/>
            </w:tcMar>
            <w:vAlign w:val="center"/>
          </w:tcPr>
          <w:p>
            <w:pPr>
              <w:widowControl/>
              <w:rPr>
                <w:rFonts w:ascii="Times New Roman" w:hAnsi="Times New Roman" w:eastAsia="宋体" w:cs="Times New Roman"/>
                <w:b/>
                <w:kern w:val="0"/>
                <w:szCs w:val="21"/>
              </w:rPr>
            </w:pPr>
            <w:r>
              <w:rPr>
                <w:rFonts w:hint="eastAsia" w:ascii="Times New Roman" w:hAnsi="Times New Roman" w:eastAsia="宋体" w:cs="Times New Roman"/>
                <w:b/>
                <w:kern w:val="0"/>
                <w:szCs w:val="21"/>
              </w:rPr>
              <w:t>付款方式不得偏离，否则投标将被否决。</w:t>
            </w:r>
          </w:p>
        </w:tc>
      </w:tr>
    </w:tbl>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rPr>
        <w:t>注：评分时分值保留二位小数，若有二位及以上并列最高分时，将由并列最高分的投标人重新报价（在标的无重大变更的情况下，重新报价不得高于前轮报价，若高于前轮报价则商务评分为</w:t>
      </w:r>
      <w:r>
        <w:rPr>
          <w:rFonts w:ascii="Times New Roman" w:hAnsi="Times New Roman" w:eastAsia="宋体"/>
          <w:sz w:val="24"/>
          <w:szCs w:val="24"/>
        </w:rPr>
        <w:t>0分）其它评分方法不变，直至产生唯一最高分。</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sz w:val="24"/>
          <w:szCs w:val="24"/>
        </w:rPr>
        <w:t>11.开标时间、地点及参与方式</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rPr>
        <w:t>11</w:t>
      </w:r>
      <w:r>
        <w:rPr>
          <w:rFonts w:ascii="Times New Roman" w:hAnsi="Times New Roman" w:eastAsia="宋体"/>
          <w:sz w:val="24"/>
          <w:szCs w:val="24"/>
        </w:rPr>
        <w:t>.1开标时间、地点：20</w:t>
      </w:r>
      <w:r>
        <w:rPr>
          <w:rFonts w:hint="eastAsia" w:ascii="Times New Roman" w:hAnsi="Times New Roman" w:eastAsia="宋体"/>
          <w:sz w:val="24"/>
          <w:szCs w:val="24"/>
        </w:rPr>
        <w:t>22</w:t>
      </w:r>
      <w:r>
        <w:rPr>
          <w:rFonts w:ascii="Times New Roman" w:hAnsi="Times New Roman" w:eastAsia="宋体"/>
          <w:sz w:val="24"/>
          <w:szCs w:val="24"/>
        </w:rPr>
        <w:t>年</w:t>
      </w:r>
      <w:r>
        <w:rPr>
          <w:rFonts w:hint="eastAsia" w:ascii="Times New Roman" w:hAnsi="Times New Roman" w:eastAsia="宋体"/>
          <w:sz w:val="24"/>
          <w:szCs w:val="24"/>
        </w:rPr>
        <w:t>11</w:t>
      </w:r>
      <w:r>
        <w:rPr>
          <w:rFonts w:ascii="Times New Roman" w:hAnsi="Times New Roman" w:eastAsia="宋体"/>
          <w:sz w:val="24"/>
          <w:szCs w:val="24"/>
        </w:rPr>
        <w:t>月</w:t>
      </w:r>
      <w:r>
        <w:rPr>
          <w:rFonts w:hint="eastAsia" w:ascii="Times New Roman" w:hAnsi="Times New Roman" w:eastAsia="宋体"/>
          <w:sz w:val="24"/>
          <w:szCs w:val="24"/>
        </w:rPr>
        <w:t>24</w:t>
      </w:r>
      <w:r>
        <w:rPr>
          <w:rFonts w:ascii="Times New Roman" w:hAnsi="Times New Roman" w:eastAsia="宋体"/>
          <w:sz w:val="24"/>
          <w:szCs w:val="24"/>
        </w:rPr>
        <w:t>日</w:t>
      </w:r>
      <w:r>
        <w:rPr>
          <w:rFonts w:hint="eastAsia" w:ascii="Times New Roman" w:hAnsi="Times New Roman" w:eastAsia="宋体"/>
          <w:sz w:val="24"/>
          <w:szCs w:val="24"/>
        </w:rPr>
        <w:t>10:30</w:t>
      </w:r>
      <w:r>
        <w:rPr>
          <w:rFonts w:ascii="Times New Roman" w:hAnsi="Times New Roman" w:eastAsia="宋体"/>
          <w:sz w:val="24"/>
          <w:szCs w:val="24"/>
        </w:rPr>
        <w:t>时（北京时间）在青山纸业文化楼4楼招标办会议室公开开标。</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rPr>
        <w:t>11</w:t>
      </w:r>
      <w:r>
        <w:rPr>
          <w:rFonts w:ascii="Times New Roman" w:hAnsi="Times New Roman" w:eastAsia="宋体"/>
          <w:sz w:val="24"/>
          <w:szCs w:val="24"/>
        </w:rPr>
        <w:t>.2参与方式：</w:t>
      </w:r>
      <w:r>
        <w:rPr>
          <w:rFonts w:hint="eastAsia" w:ascii="Times New Roman" w:hAnsi="Times New Roman" w:eastAsia="宋体"/>
          <w:sz w:val="24"/>
          <w:szCs w:val="24"/>
        </w:rPr>
        <w:t>以下三种参与方式投标人可任选一种</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rPr>
        <w:t>11</w:t>
      </w:r>
      <w:r>
        <w:rPr>
          <w:rFonts w:ascii="Times New Roman" w:hAnsi="Times New Roman" w:eastAsia="宋体"/>
          <w:sz w:val="24"/>
          <w:szCs w:val="24"/>
        </w:rPr>
        <w:t>.2.</w:t>
      </w:r>
      <w:r>
        <w:rPr>
          <w:rFonts w:hint="eastAsia" w:ascii="Times New Roman" w:hAnsi="Times New Roman" w:eastAsia="宋体"/>
          <w:sz w:val="24"/>
          <w:szCs w:val="24"/>
        </w:rPr>
        <w:t>1</w:t>
      </w:r>
      <w:r>
        <w:rPr>
          <w:rFonts w:ascii="Times New Roman" w:hAnsi="Times New Roman" w:eastAsia="宋体"/>
          <w:sz w:val="24"/>
          <w:szCs w:val="24"/>
        </w:rPr>
        <w:t>现场：</w:t>
      </w:r>
      <w:r>
        <w:rPr>
          <w:rFonts w:hint="eastAsia" w:ascii="Times New Roman" w:hAnsi="Times New Roman" w:eastAsia="宋体"/>
          <w:sz w:val="24"/>
          <w:szCs w:val="24"/>
        </w:rPr>
        <w:t>参与现场投标的，投标人应于开标之前将投标文件送至青山纸业文化楼4楼招标办会议室。到会议现场参加开标的投标人代表，须遵守沙县政府和本公司关于新冠肺炎疫情防控的相关规定，并出示绿色健康码、行程卡、48h内核酸检测阴性证明。</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rPr>
        <w:t>11</w:t>
      </w:r>
      <w:r>
        <w:rPr>
          <w:rFonts w:ascii="Times New Roman" w:hAnsi="Times New Roman" w:eastAsia="宋体"/>
          <w:sz w:val="24"/>
          <w:szCs w:val="24"/>
        </w:rPr>
        <w:t>.2.2邮寄：以邮寄</w:t>
      </w:r>
      <w:r>
        <w:rPr>
          <w:rFonts w:hint="eastAsia" w:ascii="Times New Roman" w:hAnsi="Times New Roman" w:eastAsia="宋体"/>
          <w:sz w:val="24"/>
          <w:szCs w:val="24"/>
        </w:rPr>
        <w:t>投标文件</w:t>
      </w:r>
      <w:r>
        <w:rPr>
          <w:rFonts w:ascii="Times New Roman" w:hAnsi="Times New Roman" w:eastAsia="宋体"/>
          <w:sz w:val="24"/>
          <w:szCs w:val="24"/>
        </w:rPr>
        <w:t>方式参与投标</w:t>
      </w:r>
      <w:r>
        <w:rPr>
          <w:rFonts w:hint="eastAsia" w:ascii="Times New Roman" w:hAnsi="Times New Roman" w:eastAsia="宋体"/>
          <w:sz w:val="24"/>
          <w:szCs w:val="24"/>
        </w:rPr>
        <w:t>的</w:t>
      </w:r>
      <w:r>
        <w:rPr>
          <w:rFonts w:ascii="Times New Roman" w:hAnsi="Times New Roman" w:eastAsia="宋体"/>
          <w:sz w:val="24"/>
          <w:szCs w:val="24"/>
        </w:rPr>
        <w:t>，</w:t>
      </w:r>
      <w:r>
        <w:rPr>
          <w:rFonts w:hint="eastAsia" w:ascii="Times New Roman" w:hAnsi="Times New Roman" w:eastAsia="宋体"/>
          <w:sz w:val="24"/>
          <w:szCs w:val="24"/>
        </w:rPr>
        <w:t>投标文件应于开标之前寄达，</w:t>
      </w:r>
      <w:r>
        <w:rPr>
          <w:rFonts w:ascii="Times New Roman" w:hAnsi="Times New Roman" w:eastAsia="宋体"/>
          <w:sz w:val="24"/>
          <w:szCs w:val="24"/>
        </w:rPr>
        <w:t>快递单上须注明投标单位名称和参与的招标编号，建议选用邮政EMS或顺丰快递，开标之前为确保寄达，</w:t>
      </w:r>
      <w:r>
        <w:rPr>
          <w:rFonts w:hint="eastAsia" w:ascii="Times New Roman" w:hAnsi="Times New Roman" w:eastAsia="宋体"/>
          <w:sz w:val="24"/>
          <w:szCs w:val="24"/>
        </w:rPr>
        <w:t>应</w:t>
      </w:r>
      <w:r>
        <w:rPr>
          <w:rFonts w:ascii="Times New Roman" w:hAnsi="Times New Roman" w:eastAsia="宋体"/>
          <w:sz w:val="24"/>
          <w:szCs w:val="24"/>
        </w:rPr>
        <w:t>事先与我司招标办确认。（邮寄地址：福建省沙县青州镇，单位名称：福建省青山纸业股份有限公司招标办，收件人</w:t>
      </w:r>
      <w:r>
        <w:rPr>
          <w:rFonts w:hint="eastAsia" w:ascii="Times New Roman" w:hAnsi="Times New Roman" w:eastAsia="宋体"/>
          <w:sz w:val="24"/>
          <w:szCs w:val="24"/>
        </w:rPr>
        <w:t>：刘玲</w:t>
      </w:r>
      <w:r>
        <w:rPr>
          <w:rFonts w:ascii="Times New Roman" w:hAnsi="Times New Roman" w:eastAsia="宋体"/>
          <w:sz w:val="24"/>
          <w:szCs w:val="24"/>
        </w:rPr>
        <w:t>，联系电话：0598-5658595,招标人拒绝接受邮寄到其他收件人的邮件。）</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rPr>
        <w:t>11.2.3网络：在1688采购平台</w:t>
      </w:r>
      <w:r>
        <w:rPr>
          <w:rFonts w:hint="eastAsia" w:ascii="Times New Roman" w:hAnsi="Times New Roman" w:eastAsia="宋体"/>
          <w:sz w:val="24"/>
          <w:szCs w:val="24"/>
        </w:rPr>
        <w:fldChar w:fldCharType="begin"/>
      </w:r>
      <w:r>
        <w:rPr>
          <w:rFonts w:hint="eastAsia" w:ascii="Times New Roman" w:hAnsi="Times New Roman" w:eastAsia="宋体"/>
          <w:sz w:val="24"/>
          <w:szCs w:val="24"/>
        </w:rPr>
        <w:instrText xml:space="preserve"> HYPERLINK "https://fjqszy.go.1688.com" </w:instrText>
      </w:r>
      <w:r>
        <w:rPr>
          <w:rFonts w:hint="eastAsia" w:ascii="Times New Roman" w:hAnsi="Times New Roman" w:eastAsia="宋体"/>
          <w:sz w:val="24"/>
          <w:szCs w:val="24"/>
        </w:rPr>
        <w:fldChar w:fldCharType="separate"/>
      </w:r>
      <w:r>
        <w:rPr>
          <w:rStyle w:val="10"/>
          <w:rFonts w:hint="eastAsia" w:ascii="Times New Roman" w:hAnsi="Times New Roman" w:eastAsia="宋体"/>
          <w:sz w:val="24"/>
          <w:szCs w:val="24"/>
        </w:rPr>
        <w:t>https://fjqszy.go.1688.com</w:t>
      </w:r>
      <w:r>
        <w:rPr>
          <w:rFonts w:hint="eastAsia" w:ascii="Times New Roman" w:hAnsi="Times New Roman" w:eastAsia="宋体"/>
          <w:sz w:val="24"/>
          <w:szCs w:val="24"/>
        </w:rPr>
        <w:fldChar w:fldCharType="end"/>
      </w:r>
      <w:r>
        <w:rPr>
          <w:rFonts w:hint="eastAsia" w:ascii="Times New Roman" w:hAnsi="Times New Roman" w:eastAsia="宋体"/>
          <w:sz w:val="24"/>
          <w:szCs w:val="24"/>
        </w:rPr>
        <w:t>或福建省国资采购平台</w:t>
      </w:r>
      <w:r>
        <w:rPr>
          <w:rFonts w:hint="eastAsia" w:ascii="Times New Roman" w:hAnsi="Times New Roman" w:eastAsia="宋体"/>
          <w:sz w:val="24"/>
          <w:szCs w:val="24"/>
        </w:rPr>
        <w:fldChar w:fldCharType="begin"/>
      </w:r>
      <w:r>
        <w:rPr>
          <w:rFonts w:hint="eastAsia" w:ascii="Times New Roman" w:hAnsi="Times New Roman" w:eastAsia="宋体"/>
          <w:sz w:val="24"/>
          <w:szCs w:val="24"/>
        </w:rPr>
        <w:instrText xml:space="preserve"> HYPERLINK "https://ygcg.fjcqjy.com" </w:instrText>
      </w:r>
      <w:r>
        <w:rPr>
          <w:rFonts w:hint="eastAsia" w:ascii="Times New Roman" w:hAnsi="Times New Roman" w:eastAsia="宋体"/>
          <w:sz w:val="24"/>
          <w:szCs w:val="24"/>
        </w:rPr>
        <w:fldChar w:fldCharType="separate"/>
      </w:r>
      <w:r>
        <w:rPr>
          <w:rStyle w:val="10"/>
          <w:rFonts w:hint="eastAsia" w:ascii="Times New Roman" w:hAnsi="Times New Roman" w:eastAsia="宋体"/>
          <w:sz w:val="24"/>
          <w:szCs w:val="24"/>
        </w:rPr>
        <w:t>https://ygcg.fjcqjy.com</w:t>
      </w:r>
      <w:r>
        <w:rPr>
          <w:rFonts w:hint="eastAsia" w:ascii="Times New Roman" w:hAnsi="Times New Roman" w:eastAsia="宋体"/>
          <w:sz w:val="24"/>
          <w:szCs w:val="24"/>
        </w:rPr>
        <w:fldChar w:fldCharType="end"/>
      </w:r>
      <w:r>
        <w:rPr>
          <w:rFonts w:hint="eastAsia" w:ascii="Times New Roman" w:hAnsi="Times New Roman" w:eastAsia="宋体"/>
          <w:sz w:val="24"/>
          <w:szCs w:val="24"/>
        </w:rPr>
        <w:t>上参与投标的，应按招标文件的要求制作投标文件后扫描上传至平台，投标保证金凭证、资格文件、技术文件、商务文件分别扫描上传。</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sz w:val="24"/>
          <w:szCs w:val="24"/>
        </w:rPr>
        <w:t>12.投标及履约保证金</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rPr>
        <w:t>12</w:t>
      </w:r>
      <w:r>
        <w:rPr>
          <w:rFonts w:ascii="Times New Roman" w:hAnsi="Times New Roman" w:eastAsia="宋体"/>
          <w:sz w:val="24"/>
          <w:szCs w:val="24"/>
        </w:rPr>
        <w:t>.1投标人应在</w:t>
      </w:r>
      <w:r>
        <w:rPr>
          <w:rFonts w:hint="eastAsia" w:ascii="Times New Roman" w:hAnsi="Times New Roman" w:eastAsia="宋体"/>
          <w:sz w:val="24"/>
          <w:szCs w:val="24"/>
        </w:rPr>
        <w:t>开标时间之前</w:t>
      </w:r>
      <w:r>
        <w:rPr>
          <w:rFonts w:ascii="Times New Roman" w:hAnsi="Times New Roman" w:eastAsia="宋体"/>
          <w:sz w:val="24"/>
          <w:szCs w:val="24"/>
        </w:rPr>
        <w:t>缴交投标保证金</w:t>
      </w:r>
      <w:r>
        <w:rPr>
          <w:rFonts w:hint="eastAsia" w:ascii="Times New Roman" w:hAnsi="Times New Roman" w:eastAsia="宋体"/>
          <w:sz w:val="24"/>
          <w:szCs w:val="24"/>
        </w:rPr>
        <w:t>35000</w:t>
      </w:r>
      <w:r>
        <w:rPr>
          <w:rFonts w:ascii="Times New Roman" w:hAnsi="Times New Roman" w:eastAsia="宋体"/>
          <w:sz w:val="24"/>
          <w:szCs w:val="24"/>
        </w:rPr>
        <w:t>元。</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2</w:t>
      </w:r>
      <w:r>
        <w:rPr>
          <w:rFonts w:ascii="Times New Roman" w:hAnsi="Times New Roman" w:eastAsia="宋体"/>
          <w:sz w:val="24"/>
          <w:szCs w:val="24"/>
        </w:rPr>
        <w:t>.2投标保证金任选如下一种形式提交：</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2</w:t>
      </w:r>
      <w:r>
        <w:rPr>
          <w:rFonts w:ascii="Times New Roman" w:hAnsi="Times New Roman" w:eastAsia="宋体"/>
          <w:sz w:val="24"/>
          <w:szCs w:val="24"/>
        </w:rPr>
        <w:t>.2.1银行电汇；（开户银行：工商银行沙县青州支行、账户名：福建省青山纸业股份有限公司、账号：1404049409001000160。</w:t>
      </w:r>
      <w:r>
        <w:rPr>
          <w:rFonts w:hint="eastAsia" w:ascii="Times New Roman" w:hAnsi="Times New Roman" w:eastAsia="宋体"/>
          <w:sz w:val="24"/>
          <w:szCs w:val="24"/>
        </w:rPr>
        <w:t>公对公转账，</w:t>
      </w:r>
      <w:r>
        <w:rPr>
          <w:rFonts w:ascii="Times New Roman" w:hAnsi="Times New Roman" w:eastAsia="宋体"/>
          <w:sz w:val="24"/>
          <w:szCs w:val="24"/>
        </w:rPr>
        <w:t>汇款人须注明</w:t>
      </w:r>
      <w:r>
        <w:rPr>
          <w:rFonts w:hint="eastAsia" w:ascii="Times New Roman" w:hAnsi="Times New Roman" w:eastAsia="宋体"/>
          <w:sz w:val="24"/>
          <w:szCs w:val="24"/>
        </w:rPr>
        <w:t>参与的招标编号</w:t>
      </w:r>
      <w:r>
        <w:rPr>
          <w:rFonts w:ascii="Times New Roman" w:hAnsi="Times New Roman" w:eastAsia="宋体"/>
          <w:sz w:val="24"/>
          <w:szCs w:val="24"/>
        </w:rPr>
        <w:t>）。银行电汇回单单独密封装订。</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2</w:t>
      </w:r>
      <w:r>
        <w:rPr>
          <w:rFonts w:ascii="Times New Roman" w:hAnsi="Times New Roman" w:eastAsia="宋体"/>
          <w:sz w:val="24"/>
          <w:szCs w:val="24"/>
        </w:rPr>
        <w:t>.2.2投标保证金函；若本公司与投标人尚有</w:t>
      </w:r>
      <w:r>
        <w:rPr>
          <w:rFonts w:hint="eastAsia" w:ascii="Times New Roman" w:hAnsi="Times New Roman" w:eastAsia="宋体"/>
          <w:sz w:val="24"/>
          <w:szCs w:val="24"/>
        </w:rPr>
        <w:t>到期应付</w:t>
      </w:r>
      <w:r>
        <w:rPr>
          <w:rFonts w:ascii="Times New Roman" w:hAnsi="Times New Roman" w:eastAsia="宋体"/>
          <w:sz w:val="24"/>
          <w:szCs w:val="24"/>
        </w:rPr>
        <w:t>未结清货款（各类未到期的保证金除外）且数额足够抵扣投标保证金时，投标人可出具正式公函明确要求本公司从其未结货款中转扣,但</w:t>
      </w:r>
      <w:r>
        <w:rPr>
          <w:rFonts w:hint="eastAsia" w:ascii="Times New Roman" w:hAnsi="Times New Roman" w:eastAsia="宋体"/>
          <w:sz w:val="24"/>
          <w:szCs w:val="24"/>
        </w:rPr>
        <w:t>应</w:t>
      </w:r>
      <w:r>
        <w:rPr>
          <w:rFonts w:ascii="Times New Roman" w:hAnsi="Times New Roman" w:eastAsia="宋体"/>
          <w:sz w:val="24"/>
          <w:szCs w:val="24"/>
        </w:rPr>
        <w:t>在开标前得到本公司财务的确认。投标保证金函单独密封装订。</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2</w:t>
      </w:r>
      <w:r>
        <w:rPr>
          <w:rFonts w:ascii="Times New Roman" w:hAnsi="Times New Roman" w:eastAsia="宋体"/>
          <w:sz w:val="24"/>
          <w:szCs w:val="24"/>
        </w:rPr>
        <w:t>.3对于未能按规定提交投标保证金的投标，将被视为不响应招标文件而予以拒绝。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2</w:t>
      </w:r>
      <w:r>
        <w:rPr>
          <w:rFonts w:ascii="Times New Roman" w:hAnsi="Times New Roman" w:eastAsia="宋体"/>
          <w:sz w:val="24"/>
          <w:szCs w:val="24"/>
        </w:rPr>
        <w:t>.4未中标的投标人的投标保证金，以电汇形式的将在一星期内退还；以未结货款转抵形式的将转回未结货款并按正常渠道结算。</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2</w:t>
      </w:r>
      <w:r>
        <w:rPr>
          <w:rFonts w:ascii="Times New Roman" w:hAnsi="Times New Roman" w:eastAsia="宋体"/>
          <w:sz w:val="24"/>
          <w:szCs w:val="24"/>
        </w:rPr>
        <w:t>.5中标的投标人的投标保证金，将在中标人签订合同时转为履约保证金，合同按时履行完毕后予以原额退还，以未结货款转抵形式的将转回未结货款并按正常渠道结算。</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2</w:t>
      </w:r>
      <w:r>
        <w:rPr>
          <w:rFonts w:ascii="Times New Roman" w:hAnsi="Times New Roman" w:eastAsia="宋体"/>
          <w:sz w:val="24"/>
          <w:szCs w:val="24"/>
        </w:rPr>
        <w:t>.6如投标人有下列情况发生时，其</w:t>
      </w:r>
      <w:r>
        <w:rPr>
          <w:rFonts w:ascii="Times New Roman" w:hAnsi="Times New Roman" w:eastAsia="宋体"/>
          <w:b/>
          <w:bCs/>
          <w:sz w:val="24"/>
          <w:szCs w:val="24"/>
        </w:rPr>
        <w:t>投标保证金将被不予退还</w:t>
      </w:r>
      <w:r>
        <w:rPr>
          <w:rFonts w:ascii="Times New Roman" w:hAnsi="Times New Roman" w:eastAsia="宋体"/>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rPr>
        <w:t>12</w:t>
      </w:r>
      <w:r>
        <w:rPr>
          <w:rFonts w:ascii="Times New Roman" w:hAnsi="Times New Roman" w:eastAsia="宋体"/>
          <w:sz w:val="24"/>
          <w:szCs w:val="24"/>
        </w:rPr>
        <w:t>.6.1投标人在投标有效期内撤回投标的；</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rPr>
        <w:t>12</w:t>
      </w:r>
      <w:r>
        <w:rPr>
          <w:rFonts w:ascii="Times New Roman" w:hAnsi="Times New Roman" w:eastAsia="宋体"/>
          <w:sz w:val="24"/>
          <w:szCs w:val="24"/>
        </w:rPr>
        <w:t>.6.2成为中标人后</w:t>
      </w:r>
      <w:r>
        <w:rPr>
          <w:rFonts w:hint="eastAsia" w:ascii="Times New Roman" w:hAnsi="Times New Roman" w:eastAsia="宋体"/>
          <w:sz w:val="24"/>
          <w:szCs w:val="24"/>
        </w:rPr>
        <w:t>5日</w:t>
      </w:r>
      <w:r>
        <w:rPr>
          <w:rFonts w:ascii="Times New Roman" w:hAnsi="Times New Roman" w:eastAsia="宋体"/>
          <w:sz w:val="24"/>
          <w:szCs w:val="24"/>
        </w:rPr>
        <w:t>内，因中标方原因无法签订合同的；</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2</w:t>
      </w:r>
      <w:r>
        <w:rPr>
          <w:rFonts w:ascii="Times New Roman" w:hAnsi="Times New Roman" w:eastAsia="宋体"/>
          <w:sz w:val="24"/>
          <w:szCs w:val="24"/>
        </w:rPr>
        <w:t>.6.3中标方在签订合同过程中，临时增加对我司不利的条款或减免中标方在投标文件或投标过程中承诺的条款</w:t>
      </w:r>
      <w:r>
        <w:rPr>
          <w:rFonts w:hint="eastAsia" w:ascii="Times New Roman" w:hAnsi="Times New Roman" w:eastAsia="宋体"/>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2</w:t>
      </w:r>
      <w:r>
        <w:rPr>
          <w:rFonts w:ascii="Times New Roman" w:hAnsi="Times New Roman" w:eastAsia="宋体"/>
          <w:sz w:val="24"/>
          <w:szCs w:val="24"/>
        </w:rPr>
        <w:t>.6.4其他违反法律规定的。</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sz w:val="24"/>
          <w:szCs w:val="24"/>
        </w:rPr>
        <w:t>13.投标文件要求</w:t>
      </w:r>
      <w:r>
        <w:rPr>
          <w:rFonts w:hint="eastAsia" w:ascii="Times New Roman" w:hAnsi="Times New Roman" w:eastAsia="宋体"/>
          <w:sz w:val="24"/>
          <w:szCs w:val="24"/>
        </w:rPr>
        <w:t>：（内容均须加盖公章）</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3</w:t>
      </w:r>
      <w:r>
        <w:rPr>
          <w:rFonts w:ascii="Times New Roman" w:hAnsi="Times New Roman" w:eastAsia="宋体"/>
          <w:sz w:val="24"/>
          <w:szCs w:val="24"/>
        </w:rPr>
        <w:t>.1</w:t>
      </w:r>
      <w:r>
        <w:rPr>
          <w:rFonts w:hint="eastAsia" w:ascii="Times New Roman" w:hAnsi="Times New Roman" w:eastAsia="宋体"/>
          <w:sz w:val="24"/>
          <w:szCs w:val="24"/>
        </w:rPr>
        <w:t>投标</w:t>
      </w:r>
      <w:r>
        <w:rPr>
          <w:rFonts w:ascii="Times New Roman" w:hAnsi="Times New Roman" w:eastAsia="宋体"/>
          <w:sz w:val="24"/>
          <w:szCs w:val="24"/>
        </w:rPr>
        <w:t>文件分成</w:t>
      </w:r>
      <w:r>
        <w:rPr>
          <w:rFonts w:hint="eastAsia" w:ascii="Times New Roman" w:hAnsi="Times New Roman" w:eastAsia="宋体"/>
          <w:sz w:val="24"/>
          <w:szCs w:val="24"/>
        </w:rPr>
        <w:t>四</w:t>
      </w:r>
      <w:r>
        <w:rPr>
          <w:rFonts w:ascii="Times New Roman" w:hAnsi="Times New Roman" w:eastAsia="宋体"/>
          <w:sz w:val="24"/>
          <w:szCs w:val="24"/>
        </w:rPr>
        <w:t>部分，每部分应分开密封装订：第一部分为</w:t>
      </w:r>
      <w:r>
        <w:rPr>
          <w:rFonts w:hint="eastAsia" w:ascii="Times New Roman" w:hAnsi="Times New Roman" w:eastAsia="宋体"/>
          <w:sz w:val="24"/>
          <w:szCs w:val="24"/>
        </w:rPr>
        <w:t>投标保证金凭证，第二部分为</w:t>
      </w:r>
      <w:r>
        <w:rPr>
          <w:rFonts w:ascii="Times New Roman" w:hAnsi="Times New Roman" w:eastAsia="宋体"/>
          <w:sz w:val="24"/>
          <w:szCs w:val="24"/>
        </w:rPr>
        <w:t>资格文件，第</w:t>
      </w:r>
      <w:r>
        <w:rPr>
          <w:rFonts w:hint="eastAsia" w:ascii="Times New Roman" w:hAnsi="Times New Roman" w:eastAsia="宋体"/>
          <w:sz w:val="24"/>
          <w:szCs w:val="24"/>
        </w:rPr>
        <w:t>三</w:t>
      </w:r>
      <w:r>
        <w:rPr>
          <w:rFonts w:ascii="Times New Roman" w:hAnsi="Times New Roman" w:eastAsia="宋体"/>
          <w:sz w:val="24"/>
          <w:szCs w:val="24"/>
        </w:rPr>
        <w:t>部分</w:t>
      </w:r>
      <w:r>
        <w:rPr>
          <w:rFonts w:hint="eastAsia" w:ascii="Times New Roman" w:hAnsi="Times New Roman" w:eastAsia="宋体"/>
          <w:sz w:val="24"/>
          <w:szCs w:val="24"/>
        </w:rPr>
        <w:t>为</w:t>
      </w:r>
      <w:r>
        <w:rPr>
          <w:rFonts w:ascii="Times New Roman" w:hAnsi="Times New Roman" w:eastAsia="宋体"/>
          <w:sz w:val="24"/>
          <w:szCs w:val="24"/>
        </w:rPr>
        <w:t>技术文件，第</w:t>
      </w:r>
      <w:r>
        <w:rPr>
          <w:rFonts w:hint="eastAsia" w:ascii="Times New Roman" w:hAnsi="Times New Roman" w:eastAsia="宋体"/>
          <w:sz w:val="24"/>
          <w:szCs w:val="24"/>
        </w:rPr>
        <w:t>四</w:t>
      </w:r>
      <w:r>
        <w:rPr>
          <w:rFonts w:ascii="Times New Roman" w:hAnsi="Times New Roman" w:eastAsia="宋体"/>
          <w:sz w:val="24"/>
          <w:szCs w:val="24"/>
        </w:rPr>
        <w:t>部分为商务文件。</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rPr>
        <w:t>13.1.1投标保证金凭证：银行电汇回单或投标保证金函。</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rPr>
        <w:t>13</w:t>
      </w:r>
      <w:r>
        <w:rPr>
          <w:rFonts w:ascii="Times New Roman" w:hAnsi="Times New Roman" w:eastAsia="宋体"/>
          <w:sz w:val="24"/>
          <w:szCs w:val="24"/>
        </w:rPr>
        <w:t>.</w:t>
      </w:r>
      <w:r>
        <w:rPr>
          <w:rFonts w:hint="eastAsia" w:ascii="Times New Roman" w:hAnsi="Times New Roman" w:eastAsia="宋体"/>
          <w:sz w:val="24"/>
          <w:szCs w:val="24"/>
        </w:rPr>
        <w:t>1.</w:t>
      </w:r>
      <w:r>
        <w:rPr>
          <w:rFonts w:ascii="Times New Roman" w:hAnsi="Times New Roman" w:eastAsia="宋体"/>
          <w:sz w:val="24"/>
          <w:szCs w:val="24"/>
        </w:rPr>
        <w:t>2资格文件编制一式一份，主要内容为详细的</w:t>
      </w:r>
      <w:r>
        <w:rPr>
          <w:rFonts w:hint="eastAsia" w:ascii="Times New Roman" w:hAnsi="Times New Roman" w:eastAsia="宋体"/>
          <w:sz w:val="24"/>
          <w:szCs w:val="24"/>
        </w:rPr>
        <w:t>投标人</w:t>
      </w:r>
      <w:r>
        <w:rPr>
          <w:rFonts w:ascii="Times New Roman" w:hAnsi="Times New Roman" w:eastAsia="宋体"/>
          <w:sz w:val="24"/>
          <w:szCs w:val="24"/>
        </w:rPr>
        <w:t>资料，包括</w:t>
      </w:r>
      <w:r>
        <w:rPr>
          <w:rFonts w:hint="eastAsia" w:ascii="Times New Roman" w:hAnsi="Times New Roman" w:eastAsia="宋体"/>
          <w:sz w:val="24"/>
          <w:szCs w:val="24"/>
        </w:rPr>
        <w:t>：</w:t>
      </w:r>
      <w:r>
        <w:rPr>
          <w:rFonts w:ascii="Times New Roman" w:hAnsi="Times New Roman" w:eastAsia="宋体"/>
          <w:sz w:val="24"/>
          <w:szCs w:val="24"/>
        </w:rPr>
        <w:t>a.三证合一的《营业执照》；</w:t>
      </w:r>
      <w:r>
        <w:rPr>
          <w:rFonts w:hint="eastAsia" w:ascii="Times New Roman" w:hAnsi="Times New Roman" w:eastAsia="宋体"/>
          <w:sz w:val="24"/>
          <w:szCs w:val="24"/>
        </w:rPr>
        <w:t>b.第4条“对投标人资格要求”的其他证明材料；c.</w:t>
      </w:r>
      <w:r>
        <w:rPr>
          <w:rFonts w:ascii="Times New Roman" w:hAnsi="Times New Roman" w:eastAsia="宋体"/>
          <w:sz w:val="24"/>
          <w:szCs w:val="24"/>
        </w:rPr>
        <w:t>非法</w:t>
      </w:r>
      <w:r>
        <w:rPr>
          <w:rFonts w:hint="eastAsia" w:ascii="Times New Roman" w:hAnsi="Times New Roman" w:eastAsia="宋体"/>
          <w:sz w:val="24"/>
          <w:szCs w:val="24"/>
        </w:rPr>
        <w:t>定</w:t>
      </w:r>
      <w:r>
        <w:rPr>
          <w:rFonts w:ascii="Times New Roman" w:hAnsi="Times New Roman" w:eastAsia="宋体"/>
          <w:sz w:val="24"/>
          <w:szCs w:val="24"/>
        </w:rPr>
        <w:t>代表</w:t>
      </w:r>
      <w:r>
        <w:rPr>
          <w:rFonts w:hint="eastAsia" w:ascii="Times New Roman" w:hAnsi="Times New Roman" w:eastAsia="宋体"/>
          <w:sz w:val="24"/>
          <w:szCs w:val="24"/>
        </w:rPr>
        <w:t>人</w:t>
      </w:r>
      <w:r>
        <w:rPr>
          <w:rFonts w:ascii="Times New Roman" w:hAnsi="Times New Roman" w:eastAsia="宋体"/>
          <w:sz w:val="24"/>
          <w:szCs w:val="24"/>
        </w:rPr>
        <w:t>参与</w:t>
      </w:r>
      <w:r>
        <w:rPr>
          <w:rFonts w:hint="eastAsia" w:ascii="Times New Roman" w:hAnsi="Times New Roman" w:eastAsia="宋体"/>
          <w:sz w:val="24"/>
          <w:szCs w:val="24"/>
        </w:rPr>
        <w:t>投标</w:t>
      </w:r>
      <w:r>
        <w:rPr>
          <w:rFonts w:ascii="Times New Roman" w:hAnsi="Times New Roman" w:eastAsia="宋体"/>
          <w:sz w:val="24"/>
          <w:szCs w:val="24"/>
        </w:rPr>
        <w:t>的需提供法</w:t>
      </w:r>
      <w:r>
        <w:rPr>
          <w:rFonts w:hint="eastAsia" w:ascii="Times New Roman" w:hAnsi="Times New Roman" w:eastAsia="宋体"/>
          <w:sz w:val="24"/>
          <w:szCs w:val="24"/>
        </w:rPr>
        <w:t>定</w:t>
      </w:r>
      <w:r>
        <w:rPr>
          <w:rFonts w:ascii="Times New Roman" w:hAnsi="Times New Roman" w:eastAsia="宋体"/>
          <w:sz w:val="24"/>
          <w:szCs w:val="24"/>
        </w:rPr>
        <w:t>代表</w:t>
      </w:r>
      <w:r>
        <w:rPr>
          <w:rFonts w:hint="eastAsia" w:ascii="Times New Roman" w:hAnsi="Times New Roman" w:eastAsia="宋体"/>
          <w:sz w:val="24"/>
          <w:szCs w:val="24"/>
        </w:rPr>
        <w:t>人</w:t>
      </w:r>
      <w:r>
        <w:rPr>
          <w:rFonts w:ascii="Times New Roman" w:hAnsi="Times New Roman" w:eastAsia="宋体"/>
          <w:sz w:val="24"/>
          <w:szCs w:val="24"/>
        </w:rPr>
        <w:t>授权书</w:t>
      </w:r>
      <w:r>
        <w:rPr>
          <w:rFonts w:hint="eastAsia" w:ascii="Times New Roman" w:hAnsi="Times New Roman" w:eastAsia="宋体"/>
          <w:sz w:val="24"/>
          <w:szCs w:val="24"/>
        </w:rPr>
        <w:t>（授权书格式见附件2）</w:t>
      </w:r>
      <w:r>
        <w:rPr>
          <w:rFonts w:ascii="Times New Roman" w:hAnsi="Times New Roman" w:eastAsia="宋体"/>
          <w:sz w:val="24"/>
          <w:szCs w:val="24"/>
        </w:rPr>
        <w:t>；</w:t>
      </w:r>
      <w:r>
        <w:rPr>
          <w:rFonts w:hint="eastAsia" w:ascii="Times New Roman" w:hAnsi="Times New Roman" w:eastAsia="宋体"/>
          <w:sz w:val="24"/>
          <w:szCs w:val="24"/>
        </w:rPr>
        <w:t>d</w:t>
      </w:r>
      <w:r>
        <w:rPr>
          <w:rFonts w:ascii="Times New Roman" w:hAnsi="Times New Roman" w:eastAsia="宋体"/>
          <w:sz w:val="24"/>
          <w:szCs w:val="24"/>
        </w:rPr>
        <w:t>.</w:t>
      </w:r>
      <w:r>
        <w:rPr>
          <w:rFonts w:hint="eastAsia" w:ascii="Times New Roman" w:hAnsi="Times New Roman" w:eastAsia="宋体"/>
          <w:sz w:val="24"/>
          <w:szCs w:val="24"/>
        </w:rPr>
        <w:t>招标文件要求提供的和投标人认为需要提供</w:t>
      </w:r>
      <w:r>
        <w:rPr>
          <w:rFonts w:ascii="Times New Roman" w:hAnsi="Times New Roman" w:eastAsia="宋体"/>
          <w:sz w:val="24"/>
          <w:szCs w:val="24"/>
        </w:rPr>
        <w:t>的其他资料</w:t>
      </w:r>
      <w:r>
        <w:rPr>
          <w:rFonts w:hint="eastAsia" w:ascii="Times New Roman" w:hAnsi="Times New Roman" w:eastAsia="宋体"/>
          <w:sz w:val="24"/>
          <w:szCs w:val="24"/>
        </w:rPr>
        <w:t>（公司简介和信用证书等）</w:t>
      </w:r>
      <w:r>
        <w:rPr>
          <w:rFonts w:ascii="Times New Roman" w:hAnsi="Times New Roman" w:eastAsia="宋体"/>
          <w:sz w:val="24"/>
          <w:szCs w:val="24"/>
        </w:rPr>
        <w:t>，等等。</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3</w:t>
      </w:r>
      <w:r>
        <w:rPr>
          <w:rFonts w:ascii="Times New Roman" w:hAnsi="Times New Roman" w:eastAsia="宋体"/>
          <w:sz w:val="24"/>
          <w:szCs w:val="24"/>
        </w:rPr>
        <w:t>.</w:t>
      </w:r>
      <w:r>
        <w:rPr>
          <w:rFonts w:hint="eastAsia" w:ascii="Times New Roman" w:hAnsi="Times New Roman" w:eastAsia="宋体"/>
          <w:sz w:val="24"/>
          <w:szCs w:val="24"/>
        </w:rPr>
        <w:t>1.</w:t>
      </w:r>
      <w:r>
        <w:rPr>
          <w:rFonts w:ascii="Times New Roman" w:hAnsi="Times New Roman" w:eastAsia="宋体"/>
          <w:sz w:val="24"/>
          <w:szCs w:val="24"/>
        </w:rPr>
        <w:t>3技术文件编制一式二份，包括</w:t>
      </w:r>
      <w:r>
        <w:rPr>
          <w:rFonts w:hint="eastAsia" w:ascii="Times New Roman" w:hAnsi="Times New Roman" w:eastAsia="宋体"/>
          <w:sz w:val="24"/>
          <w:szCs w:val="24"/>
        </w:rPr>
        <w:t>：a.技术方案；b.第10.3条技术评审各评分项所对应的其他响应材料；c.交货期及工期、</w:t>
      </w:r>
      <w:r>
        <w:rPr>
          <w:rFonts w:ascii="Times New Roman" w:hAnsi="Times New Roman" w:eastAsia="宋体"/>
          <w:sz w:val="24"/>
          <w:szCs w:val="24"/>
        </w:rPr>
        <w:t>质量承诺</w:t>
      </w:r>
      <w:r>
        <w:rPr>
          <w:rFonts w:hint="eastAsia" w:ascii="Times New Roman" w:hAnsi="Times New Roman" w:eastAsia="宋体"/>
          <w:sz w:val="24"/>
          <w:szCs w:val="24"/>
        </w:rPr>
        <w:t>、质保承诺；d.三年内类似</w:t>
      </w:r>
      <w:r>
        <w:rPr>
          <w:rFonts w:ascii="Times New Roman" w:hAnsi="Times New Roman" w:eastAsia="宋体"/>
          <w:sz w:val="24"/>
          <w:szCs w:val="24"/>
        </w:rPr>
        <w:t>业绩合同复印件</w:t>
      </w:r>
      <w:r>
        <w:rPr>
          <w:rFonts w:hint="eastAsia" w:ascii="Times New Roman" w:hAnsi="Times New Roman" w:eastAsia="宋体"/>
          <w:sz w:val="24"/>
          <w:szCs w:val="24"/>
        </w:rPr>
        <w:t>；e.</w:t>
      </w:r>
      <w:r>
        <w:rPr>
          <w:rFonts w:ascii="Times New Roman" w:hAnsi="Times New Roman" w:eastAsia="宋体"/>
          <w:sz w:val="24"/>
          <w:szCs w:val="24"/>
        </w:rPr>
        <w:t>技术偏离表</w:t>
      </w:r>
      <w:r>
        <w:rPr>
          <w:rFonts w:hint="eastAsia" w:ascii="Times New Roman" w:hAnsi="Times New Roman" w:eastAsia="宋体"/>
          <w:sz w:val="24"/>
          <w:szCs w:val="24"/>
        </w:rPr>
        <w:t>；f.招标</w:t>
      </w:r>
      <w:r>
        <w:rPr>
          <w:rFonts w:ascii="Times New Roman" w:hAnsi="Times New Roman" w:eastAsia="宋体"/>
          <w:sz w:val="24"/>
          <w:szCs w:val="24"/>
        </w:rPr>
        <w:t>文件要求提供的其它技术方面的文件，等等。</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3</w:t>
      </w:r>
      <w:r>
        <w:rPr>
          <w:rFonts w:ascii="Times New Roman" w:hAnsi="Times New Roman" w:eastAsia="宋体"/>
          <w:sz w:val="24"/>
          <w:szCs w:val="24"/>
        </w:rPr>
        <w:t>.</w:t>
      </w:r>
      <w:r>
        <w:rPr>
          <w:rFonts w:hint="eastAsia" w:ascii="Times New Roman" w:hAnsi="Times New Roman" w:eastAsia="宋体"/>
          <w:sz w:val="24"/>
          <w:szCs w:val="24"/>
        </w:rPr>
        <w:t>1.</w:t>
      </w:r>
      <w:r>
        <w:rPr>
          <w:rFonts w:ascii="Times New Roman" w:hAnsi="Times New Roman" w:eastAsia="宋体"/>
          <w:sz w:val="24"/>
          <w:szCs w:val="24"/>
        </w:rPr>
        <w:t>4商务文件编制一式一份，包括</w:t>
      </w:r>
      <w:r>
        <w:rPr>
          <w:rFonts w:hint="eastAsia" w:ascii="Times New Roman" w:hAnsi="Times New Roman" w:eastAsia="宋体"/>
          <w:sz w:val="24"/>
          <w:szCs w:val="24"/>
        </w:rPr>
        <w:t>：a.投标</w:t>
      </w:r>
      <w:r>
        <w:rPr>
          <w:rFonts w:ascii="Times New Roman" w:hAnsi="Times New Roman" w:eastAsia="宋体"/>
          <w:sz w:val="24"/>
          <w:szCs w:val="24"/>
        </w:rPr>
        <w:t>报价表</w:t>
      </w:r>
      <w:r>
        <w:rPr>
          <w:rFonts w:hint="eastAsia" w:ascii="Times New Roman" w:hAnsi="Times New Roman" w:eastAsia="宋体"/>
          <w:sz w:val="24"/>
          <w:szCs w:val="24"/>
        </w:rPr>
        <w:t>（必须由法定代表人或被授权人签字或盖章）；b.</w:t>
      </w:r>
      <w:r>
        <w:rPr>
          <w:rFonts w:ascii="Times New Roman" w:hAnsi="Times New Roman" w:eastAsia="宋体"/>
          <w:sz w:val="24"/>
          <w:szCs w:val="24"/>
        </w:rPr>
        <w:t>商务偏离表（如付款方式等，未说明即默认响应本</w:t>
      </w:r>
      <w:r>
        <w:rPr>
          <w:rFonts w:hint="eastAsia" w:ascii="Times New Roman" w:hAnsi="Times New Roman" w:eastAsia="宋体"/>
          <w:sz w:val="24"/>
          <w:szCs w:val="24"/>
        </w:rPr>
        <w:t>招标</w:t>
      </w:r>
      <w:r>
        <w:rPr>
          <w:rFonts w:ascii="Times New Roman" w:hAnsi="Times New Roman" w:eastAsia="宋体"/>
          <w:sz w:val="24"/>
          <w:szCs w:val="24"/>
        </w:rPr>
        <w:t>文件要求），等等。</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3</w:t>
      </w:r>
      <w:r>
        <w:rPr>
          <w:rFonts w:ascii="Times New Roman" w:hAnsi="Times New Roman" w:eastAsia="宋体"/>
          <w:sz w:val="24"/>
          <w:szCs w:val="24"/>
        </w:rPr>
        <w:t>.</w:t>
      </w:r>
      <w:r>
        <w:rPr>
          <w:rFonts w:hint="eastAsia" w:ascii="Times New Roman" w:hAnsi="Times New Roman" w:eastAsia="宋体"/>
          <w:sz w:val="24"/>
          <w:szCs w:val="24"/>
        </w:rPr>
        <w:t>2</w:t>
      </w:r>
      <w:r>
        <w:rPr>
          <w:rFonts w:ascii="Times New Roman" w:hAnsi="Times New Roman" w:eastAsia="宋体"/>
          <w:sz w:val="24"/>
          <w:szCs w:val="24"/>
        </w:rPr>
        <w:t>除</w:t>
      </w:r>
      <w:r>
        <w:rPr>
          <w:rFonts w:hint="eastAsia" w:ascii="Times New Roman" w:hAnsi="Times New Roman" w:eastAsia="宋体"/>
          <w:sz w:val="24"/>
          <w:szCs w:val="24"/>
        </w:rPr>
        <w:t>商务文件</w:t>
      </w:r>
      <w:r>
        <w:rPr>
          <w:rFonts w:ascii="Times New Roman" w:hAnsi="Times New Roman" w:eastAsia="宋体"/>
          <w:sz w:val="24"/>
          <w:szCs w:val="24"/>
        </w:rPr>
        <w:t>外，其他任何地方不得出现相关</w:t>
      </w:r>
      <w:r>
        <w:rPr>
          <w:rFonts w:hint="eastAsia" w:ascii="Times New Roman" w:hAnsi="Times New Roman" w:eastAsia="宋体"/>
          <w:sz w:val="24"/>
          <w:szCs w:val="24"/>
        </w:rPr>
        <w:t>投标报</w:t>
      </w:r>
      <w:r>
        <w:rPr>
          <w:rFonts w:ascii="Times New Roman" w:hAnsi="Times New Roman" w:eastAsia="宋体"/>
          <w:sz w:val="24"/>
          <w:szCs w:val="24"/>
        </w:rPr>
        <w:t>价的任何内容。</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outlineLvl w:val="9"/>
        <w:rPr>
          <w:rFonts w:ascii="Times New Roman" w:hAnsi="Times New Roman" w:eastAsia="宋体"/>
          <w:sz w:val="24"/>
          <w:szCs w:val="24"/>
        </w:rPr>
      </w:pPr>
      <w:r>
        <w:rPr>
          <w:rFonts w:hint="eastAsia" w:ascii="Times New Roman" w:hAnsi="Times New Roman" w:eastAsia="宋体"/>
          <w:b/>
          <w:sz w:val="24"/>
          <w:szCs w:val="24"/>
        </w:rPr>
        <w:t>14.评标小组</w:t>
      </w:r>
      <w:r>
        <w:rPr>
          <w:rFonts w:hint="eastAsia" w:ascii="Times New Roman" w:hAnsi="Times New Roman" w:eastAsia="宋体"/>
          <w:sz w:val="24"/>
          <w:szCs w:val="24"/>
        </w:rPr>
        <w:t>：评标小组由福建省青山纸业股份有限公司有关部门人员组成。</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cs="Times New Roman"/>
          <w:sz w:val="24"/>
          <w:szCs w:val="24"/>
          <w:shd w:val="clear" w:color="auto" w:fill="FFFFFF"/>
          <w:lang w:eastAsia="zh-CN"/>
        </w:rPr>
      </w:pPr>
      <w:r>
        <w:rPr>
          <w:rFonts w:hint="eastAsia" w:ascii="Times New Roman" w:hAnsi="Times New Roman" w:eastAsia="宋体"/>
          <w:b/>
          <w:sz w:val="24"/>
          <w:szCs w:val="24"/>
        </w:rPr>
        <w:t>15.发布招标公告及结果公示媒体</w:t>
      </w:r>
      <w:r>
        <w:rPr>
          <w:rFonts w:hint="eastAsia" w:ascii="Times New Roman" w:hAnsi="Times New Roman" w:eastAsia="宋体"/>
          <w:sz w:val="24"/>
          <w:szCs w:val="24"/>
        </w:rPr>
        <w:t>：</w:t>
      </w:r>
      <w:r>
        <w:rPr>
          <w:rFonts w:ascii="Times New Roman" w:hAnsi="Times New Roman" w:eastAsia="宋体" w:cs="Times New Roman"/>
          <w:sz w:val="24"/>
          <w:szCs w:val="24"/>
          <w:shd w:val="clear" w:color="auto" w:fill="FFFFFF"/>
        </w:rPr>
        <w:t>福建省青山纸业股份有限公司</w:t>
      </w:r>
      <w:r>
        <w:fldChar w:fldCharType="begin"/>
      </w:r>
      <w:r>
        <w:instrText xml:space="preserve"> HYPERLINK "http://www.qingshanpaper.com/" </w:instrText>
      </w:r>
      <w:r>
        <w:fldChar w:fldCharType="separate"/>
      </w:r>
      <w:r>
        <w:rPr>
          <w:rStyle w:val="10"/>
          <w:rFonts w:ascii="Times New Roman" w:hAnsi="Times New Roman" w:eastAsia="宋体" w:cs="Times New Roman"/>
          <w:sz w:val="24"/>
          <w:szCs w:val="24"/>
          <w:shd w:val="clear" w:color="auto" w:fill="FFFFFF"/>
        </w:rPr>
        <w:t>www.qingshanpaper.com</w:t>
      </w:r>
      <w:r>
        <w:rPr>
          <w:rStyle w:val="10"/>
          <w:rFonts w:ascii="Times New Roman" w:hAnsi="Times New Roman" w:eastAsia="宋体" w:cs="Times New Roman"/>
          <w:sz w:val="24"/>
          <w:szCs w:val="24"/>
          <w:shd w:val="clear" w:color="auto" w:fill="FFFFFF"/>
        </w:rPr>
        <w:fldChar w:fldCharType="end"/>
      </w:r>
      <w:r>
        <w:rPr>
          <w:rStyle w:val="10"/>
          <w:rFonts w:hint="eastAsia" w:ascii="Times New Roman" w:hAnsi="Times New Roman" w:eastAsia="宋体" w:cs="Times New Roman"/>
          <w:color w:val="auto"/>
          <w:sz w:val="24"/>
          <w:szCs w:val="24"/>
          <w:u w:val="none"/>
          <w:shd w:val="clear" w:color="auto" w:fill="FFFFFF"/>
        </w:rPr>
        <w:t>、福建省轻纺(控股)有限责任公司</w:t>
      </w:r>
      <w:r>
        <w:fldChar w:fldCharType="begin"/>
      </w:r>
      <w:r>
        <w:instrText xml:space="preserve"> HYPERLINK "http://www.fjqfkg.com" </w:instrText>
      </w:r>
      <w:r>
        <w:fldChar w:fldCharType="separate"/>
      </w:r>
      <w:r>
        <w:rPr>
          <w:rStyle w:val="10"/>
          <w:rFonts w:hint="eastAsia" w:ascii="Times New Roman" w:hAnsi="Times New Roman" w:eastAsia="宋体" w:cs="Times New Roman"/>
          <w:sz w:val="24"/>
          <w:szCs w:val="24"/>
          <w:shd w:val="clear" w:color="auto" w:fill="FFFFFF"/>
        </w:rPr>
        <w:t>www.fjqfkg.com</w:t>
      </w:r>
      <w:r>
        <w:rPr>
          <w:rStyle w:val="10"/>
          <w:rFonts w:hint="eastAsia" w:ascii="Times New Roman" w:hAnsi="Times New Roman" w:eastAsia="宋体" w:cs="Times New Roman"/>
          <w:sz w:val="24"/>
          <w:szCs w:val="24"/>
          <w:shd w:val="clear" w:color="auto" w:fill="FFFFFF"/>
        </w:rPr>
        <w:fldChar w:fldCharType="end"/>
      </w:r>
      <w:r>
        <w:rPr>
          <w:rStyle w:val="10"/>
          <w:rFonts w:hint="eastAsia" w:ascii="Times New Roman" w:hAnsi="Times New Roman" w:eastAsia="宋体" w:cs="Times New Roman"/>
          <w:color w:val="auto"/>
          <w:sz w:val="24"/>
          <w:szCs w:val="24"/>
          <w:u w:val="none"/>
          <w:shd w:val="clear" w:color="auto" w:fill="FFFFFF"/>
        </w:rPr>
        <w:t>、</w:t>
      </w:r>
      <w:r>
        <w:rPr>
          <w:rFonts w:hint="eastAsia" w:ascii="Times New Roman" w:hAnsi="Times New Roman" w:eastAsia="宋体"/>
          <w:sz w:val="24"/>
          <w:szCs w:val="24"/>
        </w:rPr>
        <w:t>1688采购门户</w:t>
      </w:r>
      <w:r>
        <w:fldChar w:fldCharType="begin"/>
      </w:r>
      <w:r>
        <w:instrText xml:space="preserve"> HYPERLINK "https://fjqszy.go.1688.com" </w:instrText>
      </w:r>
      <w:r>
        <w:fldChar w:fldCharType="separate"/>
      </w:r>
      <w:r>
        <w:rPr>
          <w:rStyle w:val="10"/>
          <w:rFonts w:hint="eastAsia" w:ascii="Times New Roman" w:hAnsi="Times New Roman" w:eastAsia="宋体"/>
          <w:sz w:val="24"/>
          <w:szCs w:val="24"/>
        </w:rPr>
        <w:t>https://fjqszy.go.1688.com</w:t>
      </w:r>
      <w:r>
        <w:rPr>
          <w:rStyle w:val="10"/>
          <w:rFonts w:hint="eastAsia" w:ascii="Times New Roman" w:hAnsi="Times New Roman" w:eastAsia="宋体"/>
          <w:sz w:val="24"/>
          <w:szCs w:val="24"/>
        </w:rPr>
        <w:fldChar w:fldCharType="end"/>
      </w:r>
      <w:bookmarkStart w:id="0" w:name="_GoBack"/>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ht</w:t>
      </w:r>
      <w:r>
        <w:rPr>
          <w:rStyle w:val="10"/>
          <w:rFonts w:hint="eastAsia" w:ascii="Times New Roman" w:hAnsi="Times New Roman" w:cs="Times New Roman"/>
          <w:sz w:val="24"/>
          <w:szCs w:val="24"/>
          <w:shd w:val="clear" w:color="auto" w:fill="FFFFFF"/>
          <w:lang w:val="en-US" w:eastAsia="zh-CN"/>
        </w:rPr>
        <w:t>tp://y</w:t>
      </w:r>
      <w:r>
        <w:rPr>
          <w:rStyle w:val="10"/>
          <w:rFonts w:hint="eastAsia" w:ascii="Times New Roman" w:hAnsi="Times New Roman" w:eastAsia="宋体" w:cs="Times New Roman"/>
          <w:sz w:val="24"/>
          <w:szCs w:val="24"/>
          <w:shd w:val="clear" w:color="auto" w:fill="FFFFFF"/>
        </w:rPr>
        <w:t>gcg</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f</w:t>
      </w:r>
      <w:r>
        <w:rPr>
          <w:rStyle w:val="10"/>
          <w:rFonts w:hint="eastAsia" w:ascii="Times New Roman" w:hAnsi="Times New Roman" w:cs="Times New Roman"/>
          <w:sz w:val="24"/>
          <w:szCs w:val="24"/>
          <w:shd w:val="clear" w:color="auto" w:fill="FFFFFF"/>
          <w:lang w:val="en-US" w:eastAsia="zh-CN"/>
        </w:rPr>
        <w:t>j</w:t>
      </w:r>
      <w:r>
        <w:rPr>
          <w:rStyle w:val="10"/>
          <w:rFonts w:hint="eastAsia" w:ascii="Times New Roman" w:hAnsi="Times New Roman" w:eastAsia="宋体" w:cs="Times New Roman"/>
          <w:sz w:val="24"/>
          <w:szCs w:val="24"/>
          <w:shd w:val="clear" w:color="auto" w:fill="FFFFFF"/>
        </w:rPr>
        <w:t>c</w:t>
      </w:r>
      <w:r>
        <w:rPr>
          <w:rStyle w:val="10"/>
          <w:rFonts w:hint="eastAsia" w:ascii="Times New Roman" w:hAnsi="Times New Roman" w:cs="Times New Roman"/>
          <w:sz w:val="24"/>
          <w:szCs w:val="24"/>
          <w:shd w:val="clear" w:color="auto" w:fill="FFFFFF"/>
          <w:lang w:val="en-US" w:eastAsia="zh-CN"/>
        </w:rPr>
        <w:t>qj</w:t>
      </w:r>
      <w:r>
        <w:rPr>
          <w:rStyle w:val="10"/>
          <w:rFonts w:hint="eastAsia" w:ascii="Times New Roman" w:hAnsi="Times New Roman" w:eastAsia="宋体" w:cs="Times New Roman"/>
          <w:sz w:val="24"/>
          <w:szCs w:val="24"/>
          <w:shd w:val="clear" w:color="auto" w:fill="FFFFFF"/>
        </w:rPr>
        <w:t>y</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bookmarkEnd w:id="0"/>
      <w:r>
        <w:rPr>
          <w:rFonts w:hint="eastAsia" w:ascii="Times New Roman" w:hAnsi="Times New Roman" w:cs="Times New Roman"/>
          <w:sz w:val="24"/>
          <w:szCs w:val="24"/>
          <w:shd w:val="clear" w:color="auto" w:fill="FFFFFF"/>
          <w:lang w:eastAsia="zh-CN"/>
        </w:rPr>
        <w:t>。</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outlineLvl w:val="9"/>
        <w:rPr>
          <w:rFonts w:ascii="Times New Roman" w:hAnsi="Times New Roman" w:eastAsia="宋体"/>
          <w:b/>
          <w:bCs/>
          <w:sz w:val="24"/>
          <w:szCs w:val="24"/>
        </w:rPr>
      </w:pPr>
      <w:r>
        <w:rPr>
          <w:rFonts w:hint="eastAsia" w:ascii="Times New Roman" w:hAnsi="Times New Roman" w:eastAsia="宋体"/>
          <w:b/>
          <w:bCs/>
          <w:sz w:val="24"/>
          <w:szCs w:val="24"/>
        </w:rPr>
        <w:t>16.联系方式</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rPr>
        <w:t>招标办公室：刘玲0598-5658595</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rPr>
        <w:t>技术联系人：邓光杰13950970422</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rPr>
        <w:t>商务联系人：陈初发0598-5658513</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sz w:val="24"/>
          <w:szCs w:val="24"/>
        </w:rPr>
      </w:pP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rPr>
        <w:t>附件1：图纸及设备清单（注：有意向参与投标的单位可联系招标办获取）</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sz w:val="24"/>
          <w:szCs w:val="24"/>
        </w:rPr>
      </w:pPr>
      <w:r>
        <w:rPr>
          <w:rFonts w:hint="eastAsia" w:ascii="Times New Roman" w:hAnsi="Times New Roman" w:eastAsia="宋体"/>
          <w:sz w:val="24"/>
          <w:szCs w:val="24"/>
        </w:rPr>
        <w:t>附件2：法定代表人授权书（格式）</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sz w:val="24"/>
          <w:szCs w:val="24"/>
        </w:rPr>
      </w:pPr>
    </w:p>
    <w:p>
      <w:pPr>
        <w:keepNext w:val="0"/>
        <w:keepLines w:val="0"/>
        <w:pageBreakBefore w:val="0"/>
        <w:widowControl w:val="0"/>
        <w:kinsoku/>
        <w:overflowPunct/>
        <w:topLinePunct w:val="0"/>
        <w:autoSpaceDE/>
        <w:autoSpaceDN/>
        <w:bidi w:val="0"/>
        <w:adjustRightInd/>
        <w:snapToGrid/>
        <w:spacing w:line="410" w:lineRule="exact"/>
        <w:jc w:val="right"/>
        <w:textAlignment w:val="auto"/>
        <w:outlineLvl w:val="9"/>
        <w:rPr>
          <w:rFonts w:ascii="Times New Roman" w:hAnsi="Times New Roman" w:eastAsia="宋体"/>
          <w:sz w:val="24"/>
          <w:szCs w:val="24"/>
        </w:rPr>
      </w:pPr>
      <w:r>
        <w:rPr>
          <w:rFonts w:hint="eastAsia" w:ascii="Times New Roman" w:hAnsi="Times New Roman" w:eastAsia="宋体"/>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10" w:lineRule="exact"/>
        <w:jc w:val="right"/>
        <w:textAlignment w:val="auto"/>
        <w:outlineLvl w:val="9"/>
        <w:rPr>
          <w:rFonts w:ascii="Times New Roman" w:hAnsi="Times New Roman" w:eastAsia="宋体"/>
          <w:sz w:val="24"/>
          <w:szCs w:val="24"/>
        </w:rPr>
      </w:pPr>
      <w:r>
        <w:rPr>
          <w:rFonts w:ascii="Times New Roman" w:hAnsi="Times New Roman" w:eastAsia="宋体"/>
          <w:sz w:val="24"/>
          <w:szCs w:val="24"/>
        </w:rPr>
        <w:t>招标办公室</w:t>
      </w:r>
      <w:r>
        <w:rPr>
          <w:rFonts w:hint="eastAsia" w:ascii="Times New Roman" w:hAnsi="Times New Roman" w:eastAsia="宋体"/>
          <w:sz w:val="24"/>
          <w:szCs w:val="24"/>
        </w:rPr>
        <w:t>　　　　</w:t>
      </w:r>
    </w:p>
    <w:p>
      <w:pPr>
        <w:keepNext w:val="0"/>
        <w:keepLines w:val="0"/>
        <w:pageBreakBefore w:val="0"/>
        <w:widowControl w:val="0"/>
        <w:kinsoku/>
        <w:wordWrap w:val="0"/>
        <w:overflowPunct/>
        <w:topLinePunct w:val="0"/>
        <w:autoSpaceDE/>
        <w:autoSpaceDN/>
        <w:bidi w:val="0"/>
        <w:adjustRightInd/>
        <w:snapToGrid/>
        <w:spacing w:line="410" w:lineRule="exact"/>
        <w:jc w:val="right"/>
        <w:textAlignment w:val="auto"/>
        <w:outlineLvl w:val="9"/>
        <w:rPr>
          <w:rFonts w:ascii="Times New Roman" w:hAnsi="Times New Roman" w:eastAsia="宋体"/>
          <w:bCs/>
          <w:sz w:val="24"/>
          <w:szCs w:val="24"/>
        </w:rPr>
      </w:pPr>
      <w:r>
        <w:rPr>
          <w:rFonts w:ascii="Times New Roman" w:hAnsi="Times New Roman" w:eastAsia="宋体"/>
          <w:sz w:val="24"/>
          <w:szCs w:val="24"/>
        </w:rPr>
        <w:t>20</w:t>
      </w:r>
      <w:r>
        <w:rPr>
          <w:rFonts w:hint="eastAsia" w:ascii="Times New Roman" w:hAnsi="Times New Roman" w:eastAsia="宋体"/>
          <w:sz w:val="24"/>
          <w:szCs w:val="24"/>
        </w:rPr>
        <w:t>22</w:t>
      </w:r>
      <w:r>
        <w:rPr>
          <w:rFonts w:ascii="Times New Roman" w:hAnsi="Times New Roman" w:eastAsia="宋体"/>
          <w:sz w:val="24"/>
          <w:szCs w:val="24"/>
        </w:rPr>
        <w:t>年</w:t>
      </w:r>
      <w:r>
        <w:rPr>
          <w:rFonts w:hint="eastAsia" w:ascii="Times New Roman" w:hAnsi="Times New Roman" w:eastAsia="宋体"/>
          <w:sz w:val="24"/>
          <w:szCs w:val="24"/>
        </w:rPr>
        <w:t>11</w:t>
      </w:r>
      <w:r>
        <w:rPr>
          <w:rFonts w:ascii="Times New Roman" w:hAnsi="Times New Roman" w:eastAsia="宋体"/>
          <w:sz w:val="24"/>
          <w:szCs w:val="24"/>
        </w:rPr>
        <w:t>月</w:t>
      </w:r>
      <w:r>
        <w:rPr>
          <w:rFonts w:hint="eastAsia" w:ascii="Times New Roman" w:hAnsi="Times New Roman" w:eastAsia="宋体"/>
          <w:sz w:val="24"/>
          <w:szCs w:val="24"/>
        </w:rPr>
        <w:t>1</w:t>
      </w:r>
      <w:r>
        <w:rPr>
          <w:rFonts w:hint="eastAsia" w:ascii="Times New Roman" w:hAnsi="Times New Roman" w:eastAsia="宋体"/>
          <w:sz w:val="24"/>
          <w:szCs w:val="24"/>
          <w:lang w:val="en-US" w:eastAsia="zh-CN"/>
        </w:rPr>
        <w:t>8</w:t>
      </w:r>
      <w:r>
        <w:rPr>
          <w:rFonts w:ascii="Times New Roman" w:hAnsi="Times New Roman" w:eastAsia="宋体"/>
          <w:sz w:val="24"/>
          <w:szCs w:val="24"/>
        </w:rPr>
        <w:t>日</w:t>
      </w:r>
      <w:r>
        <w:rPr>
          <w:rFonts w:hint="eastAsia" w:ascii="Times New Roman" w:hAnsi="Times New Roman" w:eastAsia="宋体"/>
          <w:sz w:val="24"/>
          <w:szCs w:val="24"/>
        </w:rPr>
        <w:t>　　　</w:t>
      </w:r>
    </w:p>
    <w:p>
      <w:pPr>
        <w:spacing w:line="420" w:lineRule="exact"/>
        <w:rPr>
          <w:rFonts w:hint="eastAsia" w:ascii="Times New Roman" w:hAnsi="Times New Roman" w:eastAsia="宋体" w:cs="Times New Roman"/>
          <w:bCs/>
          <w:sz w:val="24"/>
          <w:szCs w:val="24"/>
        </w:rPr>
      </w:pPr>
      <w:r>
        <w:rPr>
          <w:rFonts w:hint="eastAsia" w:ascii="Times New Roman" w:hAnsi="Times New Roman" w:eastAsia="宋体" w:cs="Times New Roman"/>
          <w:bCs/>
          <w:sz w:val="24"/>
          <w:szCs w:val="24"/>
        </w:rPr>
        <w:br w:type="page"/>
      </w:r>
    </w:p>
    <w:p>
      <w:pPr>
        <w:spacing w:line="420" w:lineRule="exact"/>
        <w:rPr>
          <w:rFonts w:ascii="Times New Roman" w:hAnsi="Times New Roman" w:eastAsia="宋体" w:cs="Times New Roman"/>
          <w:bCs/>
          <w:sz w:val="24"/>
          <w:szCs w:val="24"/>
        </w:rPr>
      </w:pPr>
      <w:r>
        <w:rPr>
          <w:rFonts w:hint="eastAsia" w:ascii="Times New Roman" w:hAnsi="Times New Roman" w:eastAsia="宋体" w:cs="Times New Roman"/>
          <w:bCs/>
          <w:sz w:val="24"/>
          <w:szCs w:val="24"/>
        </w:rPr>
        <w:t>附件</w:t>
      </w:r>
      <w:r>
        <w:rPr>
          <w:rFonts w:hint="eastAsia" w:ascii="Times New Roman" w:hAnsi="Times New Roman" w:eastAsia="宋体" w:cs="Times New Roman"/>
          <w:bCs/>
          <w:sz w:val="24"/>
          <w:szCs w:val="24"/>
          <w:lang w:val="en-US" w:eastAsia="zh-CN"/>
        </w:rPr>
        <w:t>2</w:t>
      </w:r>
      <w:r>
        <w:rPr>
          <w:rFonts w:hint="eastAsia" w:ascii="Times New Roman" w:hAnsi="Times New Roman" w:eastAsia="宋体" w:cs="Times New Roman"/>
          <w:bCs/>
          <w:sz w:val="24"/>
          <w:szCs w:val="24"/>
        </w:rPr>
        <w:t>：法定代表人授权书（格式）</w:t>
      </w:r>
    </w:p>
    <w:p>
      <w:pPr>
        <w:spacing w:line="420" w:lineRule="exact"/>
        <w:rPr>
          <w:rFonts w:ascii="Times New Roman" w:hAnsi="Times New Roman" w:eastAsia="宋体" w:cs="Times New Roman"/>
          <w:bCs/>
          <w:sz w:val="24"/>
          <w:szCs w:val="24"/>
        </w:rPr>
      </w:pPr>
    </w:p>
    <w:p>
      <w:pPr>
        <w:spacing w:afterLines="50" w:line="420" w:lineRule="exact"/>
        <w:jc w:val="center"/>
        <w:rPr>
          <w:rFonts w:ascii="Times New Roman" w:hAnsi="Times New Roman" w:eastAsia="宋体" w:cs="Times New Roman"/>
          <w:b/>
          <w:bCs/>
          <w:sz w:val="28"/>
          <w:szCs w:val="28"/>
        </w:rPr>
      </w:pPr>
      <w:r>
        <w:rPr>
          <w:rFonts w:hint="eastAsia" w:ascii="Times New Roman" w:hAnsi="Times New Roman" w:eastAsia="宋体" w:cs="Times New Roman"/>
          <w:b/>
          <w:bCs/>
          <w:spacing w:val="20"/>
          <w:sz w:val="28"/>
          <w:szCs w:val="28"/>
        </w:rPr>
        <w:t>法定代表人授权书</w:t>
      </w:r>
    </w:p>
    <w:p>
      <w:pPr>
        <w:spacing w:line="420" w:lineRule="exact"/>
        <w:rPr>
          <w:rFonts w:ascii="Times New Roman" w:hAnsi="Times New Roman" w:eastAsia="宋体" w:cs="Times New Roman"/>
          <w:bCs/>
          <w:sz w:val="24"/>
          <w:szCs w:val="24"/>
        </w:rPr>
      </w:pPr>
      <w:r>
        <w:rPr>
          <w:rFonts w:hint="eastAsia" w:ascii="Times New Roman" w:hAnsi="Times New Roman" w:eastAsia="宋体" w:cs="Times New Roman"/>
          <w:bCs/>
          <w:sz w:val="24"/>
          <w:szCs w:val="24"/>
          <w:u w:val="single"/>
        </w:rPr>
        <w:t>　　　　（招标人名称）　　　　</w:t>
      </w:r>
      <w:r>
        <w:rPr>
          <w:rFonts w:hint="eastAsia" w:ascii="Times New Roman" w:hAnsi="Times New Roman" w:eastAsia="宋体" w:cs="Times New Roman"/>
          <w:bCs/>
          <w:sz w:val="24"/>
          <w:szCs w:val="24"/>
        </w:rPr>
        <w:t>：</w:t>
      </w:r>
    </w:p>
    <w:p>
      <w:pPr>
        <w:spacing w:line="420" w:lineRule="exact"/>
        <w:ind w:firstLine="480" w:firstLineChars="200"/>
        <w:rPr>
          <w:rFonts w:ascii="Times New Roman" w:hAnsi="Times New Roman" w:eastAsia="宋体" w:cs="Times New Roman"/>
          <w:bCs/>
          <w:sz w:val="24"/>
          <w:szCs w:val="24"/>
        </w:rPr>
      </w:pPr>
      <w:r>
        <w:rPr>
          <w:rFonts w:hint="eastAsia" w:ascii="Times New Roman" w:hAnsi="Times New Roman" w:eastAsia="宋体" w:cs="Times New Roman"/>
          <w:bCs/>
          <w:sz w:val="24"/>
          <w:szCs w:val="24"/>
          <w:u w:val="single"/>
        </w:rPr>
        <w:t>　　（投标人全称）　　</w:t>
      </w:r>
      <w:r>
        <w:rPr>
          <w:rFonts w:hint="eastAsia" w:ascii="Times New Roman" w:hAnsi="Times New Roman" w:eastAsia="宋体" w:cs="Times New Roman"/>
          <w:bCs/>
          <w:sz w:val="24"/>
          <w:szCs w:val="24"/>
        </w:rPr>
        <w:t>法定代表人</w:t>
      </w:r>
      <w:r>
        <w:rPr>
          <w:rFonts w:hint="eastAsia" w:ascii="Times New Roman" w:hAnsi="Times New Roman" w:eastAsia="宋体" w:cs="Times New Roman"/>
          <w:bCs/>
          <w:sz w:val="24"/>
          <w:szCs w:val="24"/>
          <w:u w:val="single"/>
        </w:rPr>
        <w:t>　（姓名）　</w:t>
      </w:r>
      <w:r>
        <w:rPr>
          <w:rFonts w:hint="eastAsia" w:ascii="Times New Roman" w:hAnsi="Times New Roman" w:eastAsia="宋体" w:cs="Times New Roman"/>
          <w:bCs/>
          <w:sz w:val="24"/>
          <w:szCs w:val="24"/>
        </w:rPr>
        <w:t>授权</w:t>
      </w:r>
      <w:r>
        <w:rPr>
          <w:rFonts w:hint="eastAsia" w:ascii="Times New Roman" w:hAnsi="Times New Roman" w:eastAsia="宋体" w:cs="Times New Roman"/>
          <w:bCs/>
          <w:sz w:val="24"/>
          <w:szCs w:val="24"/>
          <w:u w:val="single"/>
        </w:rPr>
        <w:t>　（投标人代表姓名）　</w:t>
      </w:r>
      <w:r>
        <w:rPr>
          <w:rFonts w:hint="eastAsia" w:ascii="Times New Roman" w:hAnsi="Times New Roman" w:eastAsia="宋体" w:cs="Times New Roman"/>
          <w:bCs/>
          <w:sz w:val="24"/>
          <w:szCs w:val="24"/>
        </w:rPr>
        <w:t>为投标人代表，代表本公司参加贵处组织的</w:t>
      </w:r>
      <w:r>
        <w:rPr>
          <w:rFonts w:hint="eastAsia" w:ascii="Times New Roman" w:hAnsi="Times New Roman" w:eastAsia="宋体" w:cs="Times New Roman"/>
          <w:bCs/>
          <w:sz w:val="24"/>
          <w:szCs w:val="24"/>
          <w:u w:val="single"/>
        </w:rPr>
        <w:t>　　　　　　　　　　　　</w:t>
      </w:r>
      <w:r>
        <w:rPr>
          <w:rFonts w:hint="eastAsia" w:ascii="Times New Roman" w:hAnsi="Times New Roman" w:eastAsia="宋体" w:cs="Times New Roman"/>
          <w:bCs/>
          <w:sz w:val="24"/>
          <w:szCs w:val="24"/>
        </w:rPr>
        <w:t>项目（招标编号</w:t>
      </w:r>
      <w:r>
        <w:rPr>
          <w:rFonts w:hint="eastAsia" w:ascii="Times New Roman" w:hAnsi="Times New Roman" w:eastAsia="宋体" w:cs="Times New Roman"/>
          <w:bCs/>
          <w:sz w:val="24"/>
          <w:szCs w:val="24"/>
          <w:u w:val="single"/>
        </w:rPr>
        <w:t>　　　　　</w:t>
      </w:r>
      <w:r>
        <w:rPr>
          <w:rFonts w:hint="eastAsia" w:ascii="Times New Roman" w:hAnsi="Times New Roman" w:eastAsia="宋体" w:cs="Times New Roman"/>
          <w:bCs/>
          <w:sz w:val="24"/>
          <w:szCs w:val="24"/>
        </w:rPr>
        <w:t>）投标活动，全权代表我方处理投标过程的一切事宜。投标人代表在投标过程中所签署的一切文件和处理与之有关的一切事务，我均予以承认。投标人代表无转委权。特此授权。</w:t>
      </w:r>
    </w:p>
    <w:p>
      <w:pPr>
        <w:spacing w:line="420" w:lineRule="exact"/>
        <w:rPr>
          <w:rFonts w:ascii="Times New Roman" w:hAnsi="Times New Roman" w:eastAsia="宋体" w:cs="Times New Roman"/>
          <w:bCs/>
          <w:sz w:val="24"/>
          <w:szCs w:val="24"/>
        </w:rPr>
      </w:pPr>
    </w:p>
    <w:p>
      <w:pPr>
        <w:spacing w:line="420" w:lineRule="exact"/>
        <w:rPr>
          <w:rFonts w:ascii="Times New Roman" w:hAnsi="Times New Roman" w:eastAsia="宋体" w:cs="Times New Roman"/>
          <w:bCs/>
          <w:sz w:val="24"/>
          <w:szCs w:val="24"/>
        </w:rPr>
      </w:pPr>
      <w:r>
        <w:rPr>
          <w:rFonts w:hint="eastAsia" w:ascii="Times New Roman" w:hAnsi="Times New Roman" w:eastAsia="宋体" w:cs="Times New Roman"/>
          <w:bCs/>
          <w:sz w:val="24"/>
          <w:szCs w:val="24"/>
        </w:rPr>
        <w:t>投标人代表：</w:t>
      </w:r>
      <w:r>
        <w:rPr>
          <w:rFonts w:hint="eastAsia" w:ascii="Times New Roman" w:hAnsi="Times New Roman" w:eastAsia="宋体" w:cs="Times New Roman"/>
          <w:bCs/>
          <w:sz w:val="24"/>
          <w:szCs w:val="24"/>
          <w:u w:val="single"/>
        </w:rPr>
        <w:t>　　　　　　　　　</w:t>
      </w:r>
      <w:r>
        <w:rPr>
          <w:rFonts w:hint="eastAsia" w:ascii="Times New Roman" w:hAnsi="Times New Roman" w:eastAsia="宋体" w:cs="Times New Roman"/>
          <w:bCs/>
          <w:sz w:val="24"/>
          <w:szCs w:val="24"/>
        </w:rPr>
        <w:t>性别：</w:t>
      </w:r>
      <w:r>
        <w:rPr>
          <w:rFonts w:hint="eastAsia" w:ascii="Times New Roman" w:hAnsi="Times New Roman" w:eastAsia="宋体" w:cs="Times New Roman"/>
          <w:bCs/>
          <w:sz w:val="24"/>
          <w:szCs w:val="24"/>
          <w:u w:val="single"/>
        </w:rPr>
        <w:t>　　　　　　</w:t>
      </w:r>
      <w:r>
        <w:rPr>
          <w:rFonts w:hint="eastAsia" w:ascii="Times New Roman" w:hAnsi="Times New Roman" w:eastAsia="宋体" w:cs="Times New Roman"/>
          <w:bCs/>
          <w:sz w:val="24"/>
          <w:szCs w:val="24"/>
        </w:rPr>
        <w:t>身份证号：</w:t>
      </w:r>
      <w:r>
        <w:rPr>
          <w:rFonts w:hint="eastAsia" w:ascii="Times New Roman" w:hAnsi="Times New Roman" w:eastAsia="宋体" w:cs="Times New Roman"/>
          <w:bCs/>
          <w:sz w:val="24"/>
          <w:szCs w:val="24"/>
          <w:u w:val="single"/>
        </w:rPr>
        <w:t>　　　　　　　　</w:t>
      </w:r>
    </w:p>
    <w:p>
      <w:pPr>
        <w:spacing w:line="420" w:lineRule="exact"/>
        <w:rPr>
          <w:rFonts w:ascii="Times New Roman" w:hAnsi="Times New Roman" w:eastAsia="宋体" w:cs="Times New Roman"/>
          <w:bCs/>
          <w:sz w:val="24"/>
          <w:szCs w:val="24"/>
        </w:rPr>
      </w:pPr>
      <w:r>
        <w:rPr>
          <w:rFonts w:hint="eastAsia" w:ascii="Times New Roman" w:hAnsi="Times New Roman" w:eastAsia="宋体" w:cs="Times New Roman"/>
          <w:bCs/>
          <w:sz w:val="24"/>
          <w:szCs w:val="24"/>
        </w:rPr>
        <w:t>单位：</w:t>
      </w:r>
      <w:r>
        <w:rPr>
          <w:rFonts w:hint="eastAsia" w:ascii="Times New Roman" w:hAnsi="Times New Roman" w:eastAsia="宋体" w:cs="Times New Roman"/>
          <w:bCs/>
          <w:sz w:val="24"/>
          <w:szCs w:val="24"/>
          <w:u w:val="single"/>
        </w:rPr>
        <w:t>　　　　　　　　　　　　</w:t>
      </w:r>
      <w:r>
        <w:rPr>
          <w:rFonts w:hint="eastAsia" w:ascii="Times New Roman" w:hAnsi="Times New Roman" w:eastAsia="宋体" w:cs="Times New Roman"/>
          <w:bCs/>
          <w:sz w:val="24"/>
          <w:szCs w:val="24"/>
        </w:rPr>
        <w:t>部门：</w:t>
      </w:r>
      <w:r>
        <w:rPr>
          <w:rFonts w:hint="eastAsia" w:ascii="Times New Roman" w:hAnsi="Times New Roman" w:eastAsia="宋体" w:cs="Times New Roman"/>
          <w:bCs/>
          <w:sz w:val="24"/>
          <w:szCs w:val="24"/>
          <w:u w:val="single"/>
        </w:rPr>
        <w:t>　　　　　　</w:t>
      </w:r>
      <w:r>
        <w:rPr>
          <w:rFonts w:hint="eastAsia" w:ascii="Times New Roman" w:hAnsi="Times New Roman" w:eastAsia="宋体" w:cs="Times New Roman"/>
          <w:bCs/>
          <w:sz w:val="24"/>
          <w:szCs w:val="24"/>
        </w:rPr>
        <w:t>职务：</w:t>
      </w:r>
      <w:r>
        <w:rPr>
          <w:rFonts w:hint="eastAsia" w:ascii="Times New Roman" w:hAnsi="Times New Roman" w:eastAsia="宋体" w:cs="Times New Roman"/>
          <w:bCs/>
          <w:sz w:val="24"/>
          <w:szCs w:val="24"/>
          <w:u w:val="single"/>
        </w:rPr>
        <w:t>　　　　　　　　　　</w:t>
      </w:r>
    </w:p>
    <w:p>
      <w:pPr>
        <w:spacing w:line="420" w:lineRule="exact"/>
        <w:rPr>
          <w:rFonts w:ascii="Times New Roman" w:hAnsi="Times New Roman" w:eastAsia="宋体" w:cs="Times New Roman"/>
          <w:bCs/>
          <w:sz w:val="24"/>
          <w:szCs w:val="24"/>
        </w:rPr>
      </w:pPr>
      <w:r>
        <w:rPr>
          <w:rFonts w:hint="eastAsia" w:ascii="Times New Roman" w:hAnsi="Times New Roman" w:eastAsia="宋体" w:cs="Times New Roman"/>
          <w:bCs/>
          <w:sz w:val="24"/>
          <w:szCs w:val="24"/>
        </w:rPr>
        <w:t>详细通讯地址：</w:t>
      </w:r>
      <w:r>
        <w:rPr>
          <w:rFonts w:hint="eastAsia" w:ascii="Times New Roman" w:hAnsi="Times New Roman" w:eastAsia="宋体" w:cs="Times New Roman"/>
          <w:bCs/>
          <w:sz w:val="24"/>
          <w:szCs w:val="24"/>
          <w:u w:val="single"/>
        </w:rPr>
        <w:t>　　　　　　　　</w:t>
      </w:r>
      <w:r>
        <w:rPr>
          <w:rFonts w:hint="eastAsia" w:ascii="Times New Roman" w:hAnsi="Times New Roman" w:eastAsia="宋体" w:cs="Times New Roman"/>
          <w:bCs/>
          <w:sz w:val="24"/>
          <w:szCs w:val="24"/>
        </w:rPr>
        <w:t>邮政编码：</w:t>
      </w:r>
      <w:r>
        <w:rPr>
          <w:rFonts w:hint="eastAsia" w:ascii="Times New Roman" w:hAnsi="Times New Roman" w:eastAsia="宋体" w:cs="Times New Roman"/>
          <w:bCs/>
          <w:sz w:val="24"/>
          <w:szCs w:val="24"/>
          <w:u w:val="single"/>
        </w:rPr>
        <w:t>　　　　</w:t>
      </w:r>
      <w:r>
        <w:rPr>
          <w:rFonts w:hint="eastAsia" w:ascii="Times New Roman" w:hAnsi="Times New Roman" w:eastAsia="宋体" w:cs="Times New Roman"/>
          <w:bCs/>
          <w:sz w:val="24"/>
          <w:szCs w:val="24"/>
        </w:rPr>
        <w:t>电话：</w:t>
      </w:r>
      <w:r>
        <w:rPr>
          <w:rFonts w:hint="eastAsia" w:ascii="Times New Roman" w:hAnsi="Times New Roman" w:eastAsia="宋体" w:cs="Times New Roman"/>
          <w:bCs/>
          <w:sz w:val="24"/>
          <w:szCs w:val="24"/>
          <w:u w:val="single"/>
        </w:rPr>
        <w:t>　　　　　　　　　　</w:t>
      </w:r>
    </w:p>
    <w:p>
      <w:pPr>
        <w:spacing w:line="420" w:lineRule="exact"/>
        <w:rPr>
          <w:rFonts w:ascii="Times New Roman" w:hAnsi="Times New Roman" w:eastAsia="宋体" w:cs="Times New Roman"/>
          <w:b/>
          <w:bCs/>
          <w:sz w:val="24"/>
          <w:szCs w:val="24"/>
        </w:rPr>
      </w:pPr>
    </w:p>
    <w:p>
      <w:pPr>
        <w:keepNext w:val="0"/>
        <w:keepLines w:val="0"/>
        <w:pageBreakBefore w:val="0"/>
        <w:widowControl w:val="0"/>
        <w:kinsoku/>
        <w:wordWrap/>
        <w:overflowPunct/>
        <w:topLinePunct w:val="0"/>
        <w:autoSpaceDE/>
        <w:autoSpaceDN/>
        <w:bidi w:val="0"/>
        <w:adjustRightInd/>
        <w:snapToGrid/>
        <w:spacing w:line="420" w:lineRule="exact"/>
        <w:ind w:firstLine="4320" w:firstLineChars="1800"/>
        <w:textAlignment w:val="auto"/>
        <w:rPr>
          <w:rFonts w:ascii="Times New Roman" w:hAnsi="Times New Roman" w:eastAsia="宋体" w:cs="Times New Roman"/>
          <w:bCs/>
          <w:sz w:val="24"/>
          <w:szCs w:val="24"/>
        </w:rPr>
      </w:pPr>
      <w:r>
        <w:rPr>
          <w:rFonts w:hint="eastAsia" w:ascii="Times New Roman" w:hAnsi="Times New Roman" w:eastAsia="宋体" w:cs="Times New Roman"/>
          <w:bCs/>
          <w:sz w:val="24"/>
          <w:szCs w:val="24"/>
        </w:rPr>
        <w:t>授权方</w:t>
      </w:r>
    </w:p>
    <w:p>
      <w:pPr>
        <w:keepNext w:val="0"/>
        <w:keepLines w:val="0"/>
        <w:pageBreakBefore w:val="0"/>
        <w:widowControl w:val="0"/>
        <w:kinsoku/>
        <w:wordWrap/>
        <w:overflowPunct/>
        <w:topLinePunct w:val="0"/>
        <w:autoSpaceDE/>
        <w:autoSpaceDN/>
        <w:bidi w:val="0"/>
        <w:adjustRightInd/>
        <w:snapToGrid/>
        <w:spacing w:line="420" w:lineRule="exact"/>
        <w:ind w:firstLine="4320" w:firstLineChars="1800"/>
        <w:textAlignment w:val="auto"/>
        <w:rPr>
          <w:rFonts w:ascii="Times New Roman" w:hAnsi="Times New Roman" w:eastAsia="宋体" w:cs="Times New Roman"/>
          <w:bCs/>
          <w:sz w:val="24"/>
          <w:szCs w:val="24"/>
        </w:rPr>
      </w:pPr>
      <w:r>
        <w:rPr>
          <w:rFonts w:hint="eastAsia" w:ascii="Times New Roman" w:hAnsi="Times New Roman" w:eastAsia="宋体" w:cs="Times New Roman"/>
          <w:bCs/>
          <w:sz w:val="24"/>
          <w:szCs w:val="24"/>
        </w:rPr>
        <w:t>投标人名称：</w:t>
      </w:r>
      <w:r>
        <w:rPr>
          <w:rFonts w:hint="eastAsia" w:ascii="Times New Roman" w:hAnsi="Times New Roman" w:eastAsia="宋体" w:cs="Times New Roman"/>
          <w:bCs/>
          <w:sz w:val="24"/>
          <w:szCs w:val="24"/>
          <w:u w:val="single"/>
        </w:rPr>
        <w:t>　　（全称并加盖公章）　</w:t>
      </w:r>
    </w:p>
    <w:p>
      <w:pPr>
        <w:keepNext w:val="0"/>
        <w:keepLines w:val="0"/>
        <w:pageBreakBefore w:val="0"/>
        <w:widowControl w:val="0"/>
        <w:kinsoku/>
        <w:wordWrap/>
        <w:overflowPunct/>
        <w:topLinePunct w:val="0"/>
        <w:autoSpaceDE/>
        <w:autoSpaceDN/>
        <w:bidi w:val="0"/>
        <w:adjustRightInd/>
        <w:snapToGrid/>
        <w:spacing w:line="420" w:lineRule="exact"/>
        <w:ind w:firstLine="4320" w:firstLineChars="1800"/>
        <w:textAlignment w:val="auto"/>
        <w:rPr>
          <w:rFonts w:ascii="Times New Roman" w:hAnsi="Times New Roman" w:eastAsia="宋体" w:cs="Times New Roman"/>
          <w:bCs/>
          <w:sz w:val="24"/>
          <w:szCs w:val="24"/>
        </w:rPr>
      </w:pPr>
      <w:r>
        <w:rPr>
          <w:rFonts w:hint="eastAsia" w:ascii="Times New Roman" w:hAnsi="Times New Roman" w:eastAsia="宋体" w:cs="Times New Roman"/>
          <w:bCs/>
          <w:sz w:val="24"/>
          <w:szCs w:val="24"/>
        </w:rPr>
        <w:t>法定代表人签字或盖章：</w:t>
      </w:r>
      <w:r>
        <w:rPr>
          <w:rFonts w:hint="eastAsia" w:ascii="Times New Roman" w:hAnsi="Times New Roman" w:eastAsia="宋体" w:cs="Times New Roman"/>
          <w:bCs/>
          <w:sz w:val="24"/>
          <w:szCs w:val="24"/>
          <w:u w:val="single"/>
        </w:rPr>
        <w:t>　　　　　　　</w:t>
      </w:r>
    </w:p>
    <w:p>
      <w:pPr>
        <w:keepNext w:val="0"/>
        <w:keepLines w:val="0"/>
        <w:pageBreakBefore w:val="0"/>
        <w:widowControl w:val="0"/>
        <w:kinsoku/>
        <w:wordWrap/>
        <w:overflowPunct/>
        <w:topLinePunct w:val="0"/>
        <w:autoSpaceDE/>
        <w:autoSpaceDN/>
        <w:bidi w:val="0"/>
        <w:adjustRightInd/>
        <w:snapToGrid/>
        <w:spacing w:line="420" w:lineRule="exact"/>
        <w:ind w:firstLine="4320" w:firstLineChars="1800"/>
        <w:textAlignment w:val="auto"/>
        <w:rPr>
          <w:rFonts w:ascii="Times New Roman" w:hAnsi="Times New Roman" w:eastAsia="宋体" w:cs="Times New Roman"/>
          <w:bCs/>
          <w:sz w:val="24"/>
          <w:szCs w:val="24"/>
          <w:u w:val="single"/>
        </w:rPr>
      </w:pPr>
      <w:r>
        <w:rPr>
          <w:rFonts w:hint="eastAsia" w:ascii="Times New Roman" w:hAnsi="Times New Roman" w:eastAsia="宋体" w:cs="Times New Roman"/>
          <w:bCs/>
          <w:sz w:val="24"/>
          <w:szCs w:val="24"/>
        </w:rPr>
        <w:t>日　　期：</w:t>
      </w:r>
      <w:r>
        <w:rPr>
          <w:rFonts w:hint="eastAsia" w:ascii="Times New Roman" w:hAnsi="Times New Roman" w:eastAsia="宋体" w:cs="Times New Roman"/>
          <w:bCs/>
          <w:sz w:val="24"/>
          <w:szCs w:val="24"/>
          <w:u w:val="single"/>
        </w:rPr>
        <w:t>　　　　　　　　　　　　　</w:t>
      </w:r>
    </w:p>
    <w:p>
      <w:pPr>
        <w:keepNext w:val="0"/>
        <w:keepLines w:val="0"/>
        <w:pageBreakBefore w:val="0"/>
        <w:widowControl w:val="0"/>
        <w:kinsoku/>
        <w:wordWrap/>
        <w:overflowPunct/>
        <w:topLinePunct w:val="0"/>
        <w:autoSpaceDE/>
        <w:autoSpaceDN/>
        <w:bidi w:val="0"/>
        <w:adjustRightInd/>
        <w:snapToGrid/>
        <w:spacing w:line="420" w:lineRule="exact"/>
        <w:ind w:firstLine="4337" w:firstLineChars="1800"/>
        <w:textAlignment w:val="auto"/>
        <w:rPr>
          <w:rFonts w:ascii="Times New Roman" w:hAnsi="Times New Roman" w:eastAsia="宋体" w:cs="Times New Roman"/>
          <w:b/>
          <w:bCs/>
          <w:sz w:val="24"/>
          <w:szCs w:val="24"/>
        </w:rPr>
      </w:pPr>
    </w:p>
    <w:p>
      <w:pPr>
        <w:keepNext w:val="0"/>
        <w:keepLines w:val="0"/>
        <w:pageBreakBefore w:val="0"/>
        <w:widowControl w:val="0"/>
        <w:kinsoku/>
        <w:wordWrap/>
        <w:overflowPunct/>
        <w:topLinePunct w:val="0"/>
        <w:autoSpaceDE/>
        <w:autoSpaceDN/>
        <w:bidi w:val="0"/>
        <w:adjustRightInd/>
        <w:snapToGrid/>
        <w:spacing w:line="420" w:lineRule="exact"/>
        <w:ind w:firstLine="4320" w:firstLineChars="1800"/>
        <w:textAlignment w:val="auto"/>
        <w:rPr>
          <w:rFonts w:ascii="Times New Roman" w:hAnsi="Times New Roman" w:eastAsia="宋体" w:cs="Times New Roman"/>
          <w:bCs/>
          <w:sz w:val="24"/>
          <w:szCs w:val="24"/>
        </w:rPr>
      </w:pPr>
      <w:r>
        <w:rPr>
          <w:rFonts w:hint="eastAsia" w:ascii="Times New Roman" w:hAnsi="Times New Roman" w:eastAsia="宋体" w:cs="Times New Roman"/>
          <w:bCs/>
          <w:sz w:val="24"/>
          <w:szCs w:val="24"/>
        </w:rPr>
        <w:t>接受授权方</w:t>
      </w:r>
    </w:p>
    <w:p>
      <w:pPr>
        <w:keepNext w:val="0"/>
        <w:keepLines w:val="0"/>
        <w:pageBreakBefore w:val="0"/>
        <w:widowControl w:val="0"/>
        <w:kinsoku/>
        <w:wordWrap/>
        <w:overflowPunct/>
        <w:topLinePunct w:val="0"/>
        <w:autoSpaceDE/>
        <w:autoSpaceDN/>
        <w:bidi w:val="0"/>
        <w:adjustRightInd/>
        <w:snapToGrid/>
        <w:spacing w:line="420" w:lineRule="exact"/>
        <w:ind w:firstLine="4320" w:firstLineChars="1800"/>
        <w:textAlignment w:val="auto"/>
        <w:rPr>
          <w:rFonts w:ascii="Times New Roman" w:hAnsi="Times New Roman" w:eastAsia="宋体" w:cs="Times New Roman"/>
          <w:bCs/>
          <w:sz w:val="24"/>
          <w:szCs w:val="24"/>
        </w:rPr>
      </w:pPr>
      <w:r>
        <w:rPr>
          <w:rFonts w:hint="eastAsia" w:ascii="Times New Roman" w:hAnsi="Times New Roman" w:eastAsia="宋体" w:cs="Times New Roman"/>
          <w:bCs/>
          <w:sz w:val="24"/>
          <w:szCs w:val="24"/>
        </w:rPr>
        <w:t>投标人代表签字：</w:t>
      </w:r>
      <w:r>
        <w:rPr>
          <w:rFonts w:hint="eastAsia" w:ascii="Times New Roman" w:hAnsi="Times New Roman" w:eastAsia="宋体" w:cs="Times New Roman"/>
          <w:bCs/>
          <w:sz w:val="24"/>
          <w:szCs w:val="24"/>
          <w:u w:val="single"/>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Times New Roman"/>
          <w:bCs/>
          <w:sz w:val="24"/>
          <w:szCs w:val="24"/>
        </w:rPr>
        <w:t>日　　期：</w:t>
      </w:r>
      <w:r>
        <w:rPr>
          <w:rFonts w:hint="eastAsia" w:ascii="Times New Roman" w:hAnsi="Times New Roman" w:eastAsia="宋体" w:cs="Times New Roman"/>
          <w:bCs/>
          <w:sz w:val="24"/>
          <w:szCs w:val="24"/>
          <w:u w:val="single"/>
        </w:rPr>
        <w:t>　　　　　　　　　　　　　</w:t>
      </w: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 w:name="TimesNewRomanPSMT">
    <w:altName w:val="Times New Roman"/>
    <w:panose1 w:val="00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2SB286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52B4F28"/>
    <w:rsid w:val="05695BD0"/>
    <w:rsid w:val="05871BB5"/>
    <w:rsid w:val="06DE03E2"/>
    <w:rsid w:val="09997EE7"/>
    <w:rsid w:val="09F86387"/>
    <w:rsid w:val="0A037160"/>
    <w:rsid w:val="0AF65C4C"/>
    <w:rsid w:val="0BD679A8"/>
    <w:rsid w:val="0C992A98"/>
    <w:rsid w:val="0D015163"/>
    <w:rsid w:val="0D2A74AE"/>
    <w:rsid w:val="0D592C37"/>
    <w:rsid w:val="0D5F3512"/>
    <w:rsid w:val="0E3C49E1"/>
    <w:rsid w:val="0E8B2E75"/>
    <w:rsid w:val="10060E66"/>
    <w:rsid w:val="12BF4032"/>
    <w:rsid w:val="12DC1146"/>
    <w:rsid w:val="16A33A8B"/>
    <w:rsid w:val="17E62151"/>
    <w:rsid w:val="19CF43E9"/>
    <w:rsid w:val="19D304ED"/>
    <w:rsid w:val="1A413D1B"/>
    <w:rsid w:val="1C857027"/>
    <w:rsid w:val="1D1A1A49"/>
    <w:rsid w:val="1FDC0B0B"/>
    <w:rsid w:val="1FF477CC"/>
    <w:rsid w:val="20287CB8"/>
    <w:rsid w:val="22A1546C"/>
    <w:rsid w:val="24C550DC"/>
    <w:rsid w:val="24CA313E"/>
    <w:rsid w:val="26A9561F"/>
    <w:rsid w:val="2ACE7F9E"/>
    <w:rsid w:val="2BC45956"/>
    <w:rsid w:val="2C525A9B"/>
    <w:rsid w:val="2D6E3876"/>
    <w:rsid w:val="2D91433C"/>
    <w:rsid w:val="2EA81856"/>
    <w:rsid w:val="301B3B01"/>
    <w:rsid w:val="315644D0"/>
    <w:rsid w:val="31BD57A7"/>
    <w:rsid w:val="33DD320D"/>
    <w:rsid w:val="33F87B1A"/>
    <w:rsid w:val="34BF3021"/>
    <w:rsid w:val="35606AE4"/>
    <w:rsid w:val="35E5575B"/>
    <w:rsid w:val="394D2CDE"/>
    <w:rsid w:val="39E9615C"/>
    <w:rsid w:val="3BC53092"/>
    <w:rsid w:val="3C5513A3"/>
    <w:rsid w:val="3C584342"/>
    <w:rsid w:val="3C7C5725"/>
    <w:rsid w:val="3D9A2B8C"/>
    <w:rsid w:val="3E4F62F6"/>
    <w:rsid w:val="3E832FBD"/>
    <w:rsid w:val="3EF50209"/>
    <w:rsid w:val="3F550899"/>
    <w:rsid w:val="3F731E14"/>
    <w:rsid w:val="3F7334C5"/>
    <w:rsid w:val="40AA422C"/>
    <w:rsid w:val="44082718"/>
    <w:rsid w:val="477D7A77"/>
    <w:rsid w:val="47BB01F2"/>
    <w:rsid w:val="47C60904"/>
    <w:rsid w:val="48571F9B"/>
    <w:rsid w:val="485A1FE6"/>
    <w:rsid w:val="494848CE"/>
    <w:rsid w:val="4ACF470A"/>
    <w:rsid w:val="50635474"/>
    <w:rsid w:val="510D00AA"/>
    <w:rsid w:val="53EA4323"/>
    <w:rsid w:val="55867334"/>
    <w:rsid w:val="574E15B7"/>
    <w:rsid w:val="5BD62F32"/>
    <w:rsid w:val="5D785372"/>
    <w:rsid w:val="5DAE499A"/>
    <w:rsid w:val="5F194A83"/>
    <w:rsid w:val="5F6F0FB4"/>
    <w:rsid w:val="610928EA"/>
    <w:rsid w:val="62A84C8F"/>
    <w:rsid w:val="63A30CC0"/>
    <w:rsid w:val="655834F7"/>
    <w:rsid w:val="661C08AC"/>
    <w:rsid w:val="67157C63"/>
    <w:rsid w:val="674E2FFC"/>
    <w:rsid w:val="68E3273E"/>
    <w:rsid w:val="69CB5362"/>
    <w:rsid w:val="6AF32396"/>
    <w:rsid w:val="6B0726BC"/>
    <w:rsid w:val="6B773290"/>
    <w:rsid w:val="6D0F5985"/>
    <w:rsid w:val="701A7798"/>
    <w:rsid w:val="71E749FC"/>
    <w:rsid w:val="71F55825"/>
    <w:rsid w:val="74D1558C"/>
    <w:rsid w:val="759C6C29"/>
    <w:rsid w:val="76EF5943"/>
    <w:rsid w:val="773131F3"/>
    <w:rsid w:val="77EA6C2F"/>
    <w:rsid w:val="7821563D"/>
    <w:rsid w:val="78763E64"/>
    <w:rsid w:val="7952415F"/>
    <w:rsid w:val="7B657139"/>
    <w:rsid w:val="7C2E0B76"/>
    <w:rsid w:val="7C4E6A8D"/>
    <w:rsid w:val="7CB37074"/>
    <w:rsid w:val="7CD61DA0"/>
    <w:rsid w:val="7CEC5B68"/>
    <w:rsid w:val="7D9C578A"/>
    <w:rsid w:val="7FD507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Plain Text"/>
    <w:basedOn w:val="1"/>
    <w:qFormat/>
    <w:uiPriority w:val="0"/>
    <w:pPr>
      <w:adjustRightInd w:val="0"/>
      <w:spacing w:line="360" w:lineRule="atLeast"/>
      <w:textAlignment w:val="baseline"/>
    </w:pPr>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8">
    <w:name w:val="Strong"/>
    <w:basedOn w:val="7"/>
    <w:qFormat/>
    <w:uiPriority w:val="0"/>
    <w:rPr>
      <w:b/>
      <w:bCs/>
    </w:rPr>
  </w:style>
  <w:style w:type="character" w:styleId="9">
    <w:name w:val="page number"/>
    <w:basedOn w:val="7"/>
    <w:qFormat/>
    <w:uiPriority w:val="0"/>
  </w:style>
  <w:style w:type="character" w:styleId="10">
    <w:name w:val="Hyperlink"/>
    <w:basedOn w:val="7"/>
    <w:unhideWhenUsed/>
    <w:qFormat/>
    <w:uiPriority w:val="99"/>
    <w:rPr>
      <w:color w:val="0000FF"/>
      <w:u w:val="single"/>
    </w:rPr>
  </w:style>
  <w:style w:type="table" w:styleId="12">
    <w:name w:val="Table Grid"/>
    <w:basedOn w:val="11"/>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2022-11-18T08:55:32Z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