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482" w:firstLineChars="200"/>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：热电厂高压异步电动机采购</w:t>
      </w:r>
    </w:p>
    <w:p>
      <w:pPr>
        <w:spacing w:line="400" w:lineRule="exact"/>
        <w:ind w:firstLine="482" w:firstLineChars="200"/>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w:t>
      </w:r>
    </w:p>
    <w:p>
      <w:pPr>
        <w:spacing w:line="400" w:lineRule="exact"/>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高压异步电动机YXKK450-8、6000V、400KW（电机为替换原有电机JS158-8，6kV，380kW），数量：壹台。</w:t>
      </w:r>
    </w:p>
    <w:p>
      <w:pPr>
        <w:spacing w:line="400" w:lineRule="exact"/>
        <w:ind w:firstLine="482"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3.主要技术、质量的要求</w:t>
      </w:r>
      <w:r>
        <w:rPr>
          <w:rFonts w:hint="eastAsia" w:ascii="Times New Roman" w:hAnsi="Times New Roman" w:eastAsia="宋体"/>
          <w:b w:val="0"/>
          <w:bCs w:val="0"/>
          <w:color w:val="auto"/>
          <w:sz w:val="24"/>
          <w:szCs w:val="24"/>
          <w:lang w:val="en-US" w:eastAsia="zh-CN"/>
        </w:rPr>
        <w:t>：由于此电机为替换原有电机JS158-8，6kV，380kW，要求配基础底板及相应连接螺栓，同时所配的基础底板的尺寸，中标方应派技术人员至现场进行测绘，保证所加工的基础底板，与招标方的现有电机基础对接后，电机即能与负荷侧泵体匹配，无缝对接，招标方无需再对现有基础进行改动。</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具体详见附件1《福建省青山纸业股份有限公司热电厂6kV三相异步电动机技术规范书》。</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备注：本招标文件及其附件中所提及的品牌均为参考品牌。投标人可以直接选用参考品牌中的一种，也可以自行另选品牌，但所选的品牌品质（品牌知名度、技术标准和质量等级）应当相当于或不低于参考品牌，否则，其投标将被拒绝。】</w:t>
      </w:r>
    </w:p>
    <w:p>
      <w:pPr>
        <w:spacing w:line="400" w:lineRule="exact"/>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spacing w:line="400" w:lineRule="exact"/>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4.1交货时间：投标时注明最短交货期。</w:t>
      </w:r>
    </w:p>
    <w:p>
      <w:pPr>
        <w:spacing w:line="400" w:lineRule="exact"/>
        <w:ind w:firstLine="480" w:firstLineChars="200"/>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4.2交货地点：福建省三明市沙县区青州镇福建省青山纸业股份有限公司设备库或指定生产区域内。</w:t>
      </w:r>
    </w:p>
    <w:p>
      <w:pPr>
        <w:spacing w:line="400" w:lineRule="exact"/>
        <w:ind w:firstLine="482" w:firstLineChars="200"/>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spacing w:line="400" w:lineRule="exact"/>
        <w:ind w:firstLine="480" w:firstLineChars="200"/>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.1投标人应是具有独立法人资格、有能力提供货物及服务、信用良好的国内企业。</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5.2非生产单位投标必须出具生产单位的代理证书或项目授权书。</w:t>
      </w:r>
    </w:p>
    <w:p>
      <w:pPr>
        <w:spacing w:line="400" w:lineRule="exact"/>
        <w:ind w:firstLine="482"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6.1中标方负责设备的运输，凡设备到招标方之前所产生的费用及意外损失由中标方负责承担。</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6.2中标方对其所供标的物的质量、性能和运行可靠性负责。</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6.3招标方根据合同要求及标的物的使用情况履行相关义务。</w:t>
      </w:r>
    </w:p>
    <w:p>
      <w:pPr>
        <w:spacing w:line="400" w:lineRule="exact"/>
        <w:ind w:firstLine="480" w:firstLineChars="200"/>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6.4按《招投标法》、《中华人民共和国民法典》等相关法律法规执行。</w:t>
      </w:r>
    </w:p>
    <w:p>
      <w:pPr>
        <w:spacing w:line="400" w:lineRule="exact"/>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p>
    <w:p>
      <w:pPr>
        <w:spacing w:line="400" w:lineRule="exact"/>
        <w:ind w:firstLine="480" w:firstLineChars="200"/>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rPr>
        <w:t>.1质量保证期为自设备验收合格之日起12个月或货到18个月（以时间先到为准），投标人可承诺更长的质保期。</w:t>
      </w:r>
    </w:p>
    <w:p>
      <w:pPr>
        <w:spacing w:line="400" w:lineRule="exact"/>
        <w:ind w:firstLine="480" w:firstLineChars="200"/>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7.2质量保证期内非买方原因引起的质量问题，中标方负责无偿返修，中标方未在买方规定的时间内返修，招标方有权选择其它供应商进行返修，返修费用由中标方承担</w:t>
      </w:r>
      <w:r>
        <w:rPr>
          <w:rFonts w:hint="eastAsia" w:ascii="Times New Roman" w:hAnsi="Times New Roman" w:eastAsia="宋体"/>
          <w:b w:val="0"/>
          <w:bCs/>
          <w:color w:val="auto"/>
          <w:sz w:val="24"/>
          <w:szCs w:val="24"/>
        </w:rPr>
        <w:t>。</w:t>
      </w:r>
    </w:p>
    <w:p>
      <w:pPr>
        <w:spacing w:line="400" w:lineRule="exact"/>
        <w:ind w:firstLine="482" w:firstLineChars="200"/>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color w:val="auto"/>
          <w:sz w:val="24"/>
          <w:szCs w:val="24"/>
          <w:lang w:eastAsia="zh-CN"/>
        </w:rPr>
        <w:t>：</w:t>
      </w:r>
      <w:r>
        <w:rPr>
          <w:rFonts w:hint="eastAsia" w:ascii="Times New Roman" w:hAnsi="Times New Roman" w:eastAsia="宋体"/>
          <w:b w:val="0"/>
          <w:bCs/>
          <w:color w:val="auto"/>
          <w:sz w:val="24"/>
          <w:szCs w:val="24"/>
          <w:lang w:eastAsia="zh-CN"/>
        </w:rPr>
        <w:t>不支付预付款，验收合格后，招标人财务部收到全额13%增值税专用发票45天支付总合同价的90%（银行承兑汇票）；质保金为总合同价的10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本次招标采取一次性报价方式。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w:t>
      </w:r>
      <w:r>
        <w:rPr>
          <w:rFonts w:hint="eastAsia" w:ascii="Times New Roman" w:hAnsi="Times New Roman" w:eastAsia="宋体"/>
          <w:color w:val="auto"/>
          <w:sz w:val="24"/>
          <w:szCs w:val="24"/>
        </w:rPr>
        <w:t>以一票制方式结算。</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当AG＞1.1AD时，F=50-（A- AD）÷（AG- AD）×6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当AG≤1.1AD时，F=50-（A- AD）÷AD×30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设备和附件满足招标文件要求的程度：15分；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技术性能、制造水平及产品特点：25分；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eastAsia="zh-CN"/>
              </w:rPr>
              <w:t>①</w:t>
            </w:r>
            <w:r>
              <w:rPr>
                <w:rFonts w:hint="eastAsia" w:ascii="Times New Roman" w:hAnsi="Times New Roman" w:eastAsia="宋体" w:cs="Times New Roman"/>
                <w:color w:val="auto"/>
                <w:kern w:val="0"/>
                <w:szCs w:val="21"/>
                <w:lang w:val="en-US" w:eastAsia="zh-CN"/>
              </w:rPr>
              <w:t>品牌业绩：2分；1分/份合同（以三年内合同复印件为准），封顶2分；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②售后服务：3分。根据投标人的响应情况进行打分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①接受承兑汇票得1分，不接受的得0分；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②接受质保金得1分，不接受的得0分；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③预付方式3分。按照预付款比例相应扣分。</w:t>
            </w:r>
          </w:p>
        </w:tc>
      </w:tr>
    </w:tbl>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14</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lang w:eastAsia="zh-CN"/>
        </w:rPr>
        <w:t>（以下三种参与方式投标人可任选一种）</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现场：参与现场投标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投标人应于开标之前将投标文件送至青山纸业文化楼4楼招标办会议室。</w:t>
      </w:r>
      <w:r>
        <w:rPr>
          <w:rFonts w:hint="eastAsia" w:ascii="Times New Roman" w:hAnsi="Times New Roman" w:eastAsia="宋体"/>
          <w:color w:val="000000" w:themeColor="text1"/>
          <w:sz w:val="24"/>
          <w:szCs w:val="24"/>
          <w:u w:val="none"/>
          <w14:textFill>
            <w14:solidFill>
              <w14:schemeClr w14:val="tx1"/>
            </w14:solidFill>
          </w14:textFill>
        </w:rPr>
        <w:t>到会议现场参加开标的投标人代表，须遵守沙县政府和本公司关于新冠肺炎疫情防控的相关规定，并出示绿色健康码（含疫苗接种情况</w:t>
      </w:r>
      <w:r>
        <w:rPr>
          <w:rFonts w:hint="eastAsia" w:ascii="Times New Roman" w:hAnsi="Times New Roman" w:eastAsia="宋体"/>
          <w:color w:val="000000" w:themeColor="text1"/>
          <w:sz w:val="24"/>
          <w:szCs w:val="24"/>
          <w:u w:val="none"/>
          <w:lang w:eastAsia="zh-CN"/>
          <w14:textFill>
            <w14:solidFill>
              <w14:schemeClr w14:val="tx1"/>
            </w14:solidFill>
          </w14:textFill>
        </w:rPr>
        <w:t>、</w:t>
      </w:r>
      <w:r>
        <w:rPr>
          <w:rFonts w:hint="eastAsia" w:ascii="Times New Roman" w:hAnsi="Times New Roman" w:eastAsia="宋体"/>
          <w:color w:val="000000" w:themeColor="text1"/>
          <w:sz w:val="24"/>
          <w:szCs w:val="24"/>
          <w:u w:val="none"/>
          <w14:textFill>
            <w14:solidFill>
              <w14:schemeClr w14:val="tx1"/>
            </w14:solidFill>
          </w14:textFill>
        </w:rPr>
        <w:t>行程卡）</w:t>
      </w:r>
      <w:r>
        <w:rPr>
          <w:rFonts w:hint="eastAsia" w:ascii="Times New Roman" w:hAnsi="Times New Roman" w:eastAsia="宋体"/>
          <w:color w:val="000000" w:themeColor="text1"/>
          <w:sz w:val="24"/>
          <w:szCs w:val="24"/>
          <w:u w:val="none"/>
          <w:lang w:eastAsia="zh-CN"/>
          <w14:textFill>
            <w14:solidFill>
              <w14:schemeClr w14:val="tx1"/>
            </w14:solidFill>
          </w14:textFill>
        </w:rPr>
        <w:t>。福建省外来此人员还需持有48小时内的核酸检测报告。</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spacing w:line="400" w:lineRule="exact"/>
        <w:ind w:firstLine="480" w:firstLineChars="20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w:t>
      </w:r>
      <w:r>
        <w:rPr>
          <w:rFonts w:hint="eastAsia" w:ascii="Times New Roman" w:hAnsi="Times New Roman" w:eastAsia="宋体"/>
          <w:sz w:val="24"/>
          <w:szCs w:val="24"/>
        </w:rPr>
        <w:t>在1688</w:t>
      </w:r>
      <w:r>
        <w:rPr>
          <w:rFonts w:hint="eastAsia" w:ascii="Times New Roman" w:hAnsi="Times New Roman" w:eastAsia="宋体"/>
          <w:sz w:val="24"/>
          <w:szCs w:val="24"/>
          <w:lang w:eastAsia="zh-CN"/>
        </w:rPr>
        <w:t>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"https://fjqszy.go.1688.com"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https://fjqszy.go.1688.com</w:t>
      </w:r>
      <w:r>
        <w:rPr>
          <w:rFonts w:hint="eastAsia" w:ascii="Times New Roman" w:hAnsi="Times New Roman" w:eastAsia="宋体"/>
          <w:sz w:val="24"/>
          <w:szCs w:val="24"/>
        </w:rPr>
        <w:fldChar w:fldCharType="end"/>
      </w:r>
      <w:r>
        <w:rPr>
          <w:rFonts w:hint="eastAsia" w:ascii="Times New Roman" w:hAnsi="Times New Roman" w:eastAsia="宋体"/>
          <w:sz w:val="24"/>
          <w:szCs w:val="24"/>
        </w:rPr>
        <w:t>或福建省国资采购平台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"https://ygcg.fjcqjy.com"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https://ygcg.fjcqjy.com</w:t>
      </w:r>
      <w:r>
        <w:rPr>
          <w:rFonts w:hint="eastAsia" w:ascii="Times New Roman" w:hAnsi="Times New Roman" w:eastAsia="宋体"/>
          <w:sz w:val="24"/>
          <w:szCs w:val="24"/>
        </w:rPr>
        <w:fldChar w:fldCharType="end"/>
      </w:r>
      <w:r>
        <w:rPr>
          <w:rFonts w:hint="eastAsia" w:ascii="Times New Roman" w:hAnsi="Times New Roman" w:eastAsia="宋体"/>
          <w:sz w:val="24"/>
          <w:szCs w:val="24"/>
        </w:rPr>
        <w:t>上参与投标的，应按招标文件的要求制作投标文件后扫描上传至1688采购平台，投标保证金凭证、资格文件、技术文件、商务文件分别扫描上传。</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4000</w:t>
      </w:r>
      <w:r>
        <w:rPr>
          <w:rFonts w:ascii="Times New Roman" w:hAnsi="Times New Roman" w:eastAsia="宋体"/>
          <w:color w:val="auto"/>
          <w:sz w:val="24"/>
          <w:szCs w:val="24"/>
        </w:rPr>
        <w:t>元。</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.5中标的投标人的投标保证金，将在中标人签订合同时转为履约保证金，合同按时履行完毕后予以原额退还，以未结货款转抵形式的将转回未结货款并按正常渠道结算。</w:t>
      </w:r>
    </w:p>
    <w:p>
      <w:pPr>
        <w:spacing w:line="400" w:lineRule="exact"/>
        <w:ind w:firstLine="482" w:firstLineChars="200"/>
        <w:rPr>
          <w:rFonts w:ascii="Times New Roman" w:hAnsi="Times New Roman" w:eastAsia="宋体"/>
          <w:color w:val="auto"/>
          <w:sz w:val="24"/>
          <w:szCs w:val="24"/>
        </w:rPr>
      </w:pPr>
      <w:r>
        <w:rPr>
          <w:rFonts w:ascii="Times New Roman" w:hAnsi="Times New Roman" w:eastAsia="宋体"/>
          <w:b/>
          <w:bCs/>
          <w:color w:val="auto"/>
          <w:sz w:val="24"/>
          <w:szCs w:val="24"/>
        </w:rPr>
        <w:t>1</w:t>
      </w:r>
      <w:r>
        <w:rPr>
          <w:rFonts w:hint="eastAsia" w:ascii="Times New Roman" w:hAnsi="Times New Roman" w:eastAsia="宋体"/>
          <w:b/>
          <w:bCs/>
          <w:color w:val="auto"/>
          <w:sz w:val="24"/>
          <w:szCs w:val="24"/>
          <w:lang w:val="en-US" w:eastAsia="zh-CN"/>
        </w:rPr>
        <w:t>2</w:t>
      </w:r>
      <w:r>
        <w:rPr>
          <w:rFonts w:ascii="Times New Roman" w:hAnsi="Times New Roman" w:eastAsia="宋体"/>
          <w:b/>
          <w:bCs/>
          <w:color w:val="auto"/>
          <w:sz w:val="24"/>
          <w:szCs w:val="24"/>
        </w:rPr>
        <w:t>.6如投标人有下列情况发生时，其投标保证金将被不予退还</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b/>
          <w:bCs/>
          <w:color w:val="auto"/>
          <w:sz w:val="24"/>
          <w:szCs w:val="24"/>
          <w:lang w:eastAsia="zh-CN"/>
        </w:rPr>
        <w:t>（必须有产品的型号、参数配置、外形尺寸安装图以及能效等级等详细描述）</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；d.</w:t>
      </w:r>
      <w:r>
        <w:rPr>
          <w:rFonts w:hint="eastAsia" w:ascii="Times New Roman" w:hAnsi="Times New Roman" w:eastAsia="宋体"/>
          <w:color w:val="auto"/>
          <w:sz w:val="24"/>
          <w:szCs w:val="24"/>
          <w:lang w:eastAsia="zh-CN"/>
        </w:rPr>
        <w:t>投标人三年内相类似的销售</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spacing w:line="400" w:lineRule="exact"/>
        <w:ind w:firstLine="482" w:firstLineChars="200"/>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b/>
          <w:color w:val="auto"/>
          <w:sz w:val="24"/>
          <w:szCs w:val="24"/>
          <w:lang w:eastAsia="zh-CN"/>
        </w:rPr>
        <w:t>及结果公示</w:t>
      </w:r>
      <w:bookmarkStart w:id="0" w:name="_GoBack"/>
      <w:bookmarkEnd w:id="0"/>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福建省青山纸业股份有限公司网站</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1688采购门户网址</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技术联系人：李工13806974034</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设备部：</w:t>
      </w:r>
      <w:r>
        <w:rPr>
          <w:rFonts w:hint="eastAsia" w:ascii="Times New Roman" w:hAnsi="Times New Roman" w:eastAsia="宋体"/>
          <w:color w:val="auto"/>
          <w:sz w:val="24"/>
          <w:szCs w:val="24"/>
          <w:lang w:eastAsia="zh-CN"/>
        </w:rPr>
        <w:t>杨工</w:t>
      </w:r>
      <w:r>
        <w:rPr>
          <w:rFonts w:hint="eastAsia" w:ascii="Times New Roman" w:hAnsi="Times New Roman" w:eastAsia="宋体"/>
          <w:color w:val="auto"/>
          <w:sz w:val="24"/>
          <w:szCs w:val="24"/>
        </w:rPr>
        <w:t>0598-5655019</w:t>
      </w:r>
    </w:p>
    <w:p>
      <w:pPr>
        <w:spacing w:line="400" w:lineRule="exact"/>
        <w:ind w:firstLine="480" w:firstLineChars="200"/>
        <w:rPr>
          <w:rFonts w:hint="eastAsia" w:ascii="Times New Roman" w:hAnsi="Times New Roman" w:eastAsia="宋体"/>
          <w:color w:val="auto"/>
          <w:sz w:val="24"/>
          <w:szCs w:val="24"/>
        </w:rPr>
      </w:pP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：福建省青山纸业股份有限公司热电厂6kV三相异步电动机技术规范书</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JS158-8与YXKK450-8电机尺寸比较说明</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注：附件1、2，有意向参与投标的单位可联系招标办获取。</w:t>
      </w:r>
    </w:p>
    <w:p>
      <w:pPr>
        <w:spacing w:line="400" w:lineRule="exact"/>
        <w:ind w:firstLine="480" w:firstLineChars="200"/>
        <w:rPr>
          <w:rFonts w:hint="eastAsia" w:ascii="Times New Roman" w:hAnsi="Times New Roman" w:eastAsia="宋体"/>
          <w:color w:val="auto"/>
          <w:sz w:val="24"/>
          <w:szCs w:val="24"/>
          <w:lang w:val="en-US" w:eastAsia="zh-CN"/>
        </w:rPr>
      </w:pPr>
    </w:p>
    <w:p>
      <w:pPr>
        <w:spacing w:line="400" w:lineRule="exact"/>
        <w:ind w:firstLine="480" w:firstLineChars="200"/>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7</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spacing w:line="400" w:lineRule="exact"/>
        <w:rPr>
          <w:rFonts w:ascii="Times New Roman" w:hAnsi="Times New Roman" w:eastAsia="宋体"/>
          <w:bCs/>
          <w:color w:val="auto"/>
          <w:sz w:val="24"/>
          <w:szCs w:val="24"/>
        </w:rPr>
      </w:pP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2SB292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857027"/>
    <w:rsid w:val="1D1A1A49"/>
    <w:rsid w:val="1F570C40"/>
    <w:rsid w:val="1FDC0B0B"/>
    <w:rsid w:val="1FF477CC"/>
    <w:rsid w:val="20287CB8"/>
    <w:rsid w:val="21F72B38"/>
    <w:rsid w:val="22A1546C"/>
    <w:rsid w:val="24C550DC"/>
    <w:rsid w:val="24CA313E"/>
    <w:rsid w:val="26A9561F"/>
    <w:rsid w:val="2ACE7F9E"/>
    <w:rsid w:val="2BC45956"/>
    <w:rsid w:val="2C525A9B"/>
    <w:rsid w:val="2D6E3876"/>
    <w:rsid w:val="2D91433C"/>
    <w:rsid w:val="2EA81856"/>
    <w:rsid w:val="301B3B01"/>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5867334"/>
    <w:rsid w:val="574E15B7"/>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2022-12-07T09:00:43Z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