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color w:val="auto"/>
          <w:sz w:val="44"/>
          <w:szCs w:val="44"/>
          <w:highlight w:val="none"/>
        </w:rPr>
      </w:pPr>
      <w:r>
        <w:rPr>
          <w:rFonts w:hint="eastAsia" w:ascii="宋体" w:hAnsi="宋体" w:eastAsia="宋体" w:cs="宋体"/>
          <w:b/>
          <w:bCs/>
          <w:color w:val="auto"/>
          <w:sz w:val="44"/>
          <w:szCs w:val="44"/>
          <w:highlight w:val="none"/>
        </w:rPr>
        <w:t>福建海峡军民融合产业发展有限公司</w:t>
      </w:r>
    </w:p>
    <w:p>
      <w:pPr>
        <w:jc w:val="center"/>
        <w:rPr>
          <w:rFonts w:hint="eastAsia" w:ascii="宋体" w:hAnsi="宋体" w:eastAsia="宋体" w:cs="宋体"/>
          <w:b/>
          <w:bCs/>
          <w:color w:val="auto"/>
          <w:sz w:val="44"/>
          <w:szCs w:val="44"/>
          <w:highlight w:val="none"/>
        </w:rPr>
      </w:pPr>
      <w:r>
        <w:rPr>
          <w:rFonts w:hint="eastAsia" w:ascii="宋体" w:hAnsi="宋体" w:eastAsia="宋体" w:cs="宋体"/>
          <w:b/>
          <w:bCs/>
          <w:color w:val="auto"/>
          <w:sz w:val="44"/>
          <w:szCs w:val="44"/>
          <w:highlight w:val="none"/>
        </w:rPr>
        <w:t>福州分公司</w:t>
      </w:r>
      <w:r>
        <w:rPr>
          <w:rFonts w:hint="eastAsia" w:ascii="宋体" w:hAnsi="宋体" w:eastAsia="宋体" w:cs="宋体"/>
          <w:b/>
          <w:bCs/>
          <w:color w:val="auto"/>
          <w:sz w:val="44"/>
          <w:szCs w:val="44"/>
          <w:highlight w:val="none"/>
          <w:lang w:val="en-US" w:eastAsia="zh-CN"/>
        </w:rPr>
        <w:t>第三方配送服务</w:t>
      </w:r>
      <w:r>
        <w:rPr>
          <w:rFonts w:hint="eastAsia" w:ascii="宋体" w:hAnsi="宋体" w:eastAsia="宋体" w:cs="宋体"/>
          <w:b/>
          <w:bCs/>
          <w:color w:val="auto"/>
          <w:sz w:val="44"/>
          <w:szCs w:val="44"/>
          <w:highlight w:val="none"/>
        </w:rPr>
        <w:t>采购项目</w:t>
      </w:r>
    </w:p>
    <w:p>
      <w:pPr>
        <w:spacing w:line="312" w:lineRule="auto"/>
        <w:jc w:val="center"/>
        <w:rPr>
          <w:rFonts w:hint="eastAsia" w:ascii="宋体" w:hAnsi="宋体" w:eastAsia="宋体" w:cs="宋体"/>
          <w:b/>
          <w:bCs/>
          <w:color w:val="auto"/>
          <w:sz w:val="44"/>
          <w:szCs w:val="44"/>
          <w:highlight w:val="none"/>
          <w:u w:val="single"/>
          <w:lang w:val="en-US" w:eastAsia="zh-CN"/>
        </w:rPr>
      </w:pPr>
      <w:r>
        <w:rPr>
          <w:rFonts w:hint="eastAsia" w:ascii="宋体" w:hAnsi="宋体" w:eastAsia="宋体" w:cs="宋体"/>
          <w:b/>
          <w:bCs/>
          <w:color w:val="auto"/>
          <w:sz w:val="44"/>
          <w:szCs w:val="44"/>
          <w:highlight w:val="none"/>
          <w:u w:val="single"/>
          <w:lang w:val="en-US" w:eastAsia="zh-CN"/>
        </w:rPr>
        <w:t>招标公告</w:t>
      </w:r>
    </w:p>
    <w:p>
      <w:pPr>
        <w:spacing w:line="312"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u w:val="single"/>
        </w:rPr>
        <w:t>福建</w:t>
      </w:r>
      <w:r>
        <w:rPr>
          <w:rFonts w:hint="eastAsia" w:ascii="仿宋" w:hAnsi="仿宋" w:eastAsia="仿宋" w:cs="仿宋"/>
          <w:color w:val="auto"/>
          <w:sz w:val="30"/>
          <w:szCs w:val="30"/>
          <w:highlight w:val="none"/>
        </w:rPr>
        <w:t>海峡军民融合产业发展有限公司福州分公司，对</w:t>
      </w:r>
      <w:r>
        <w:rPr>
          <w:rFonts w:hint="eastAsia" w:ascii="仿宋" w:hAnsi="仿宋" w:eastAsia="仿宋" w:cs="仿宋"/>
          <w:color w:val="auto"/>
          <w:sz w:val="30"/>
          <w:szCs w:val="30"/>
          <w:highlight w:val="none"/>
          <w:u w:val="single"/>
          <w:lang w:val="en-US" w:eastAsia="zh-CN"/>
        </w:rPr>
        <w:t>第三方配送服务</w:t>
      </w:r>
      <w:r>
        <w:rPr>
          <w:rFonts w:hint="eastAsia" w:ascii="仿宋" w:hAnsi="仿宋" w:eastAsia="仿宋" w:cs="仿宋"/>
          <w:color w:val="auto"/>
          <w:sz w:val="30"/>
          <w:szCs w:val="30"/>
          <w:highlight w:val="none"/>
          <w:u w:val="single"/>
        </w:rPr>
        <w:t>采购项目</w:t>
      </w:r>
      <w:r>
        <w:rPr>
          <w:rFonts w:hint="eastAsia" w:ascii="仿宋" w:hAnsi="仿宋" w:eastAsia="仿宋" w:cs="仿宋"/>
          <w:color w:val="auto"/>
          <w:sz w:val="30"/>
          <w:szCs w:val="30"/>
          <w:highlight w:val="none"/>
        </w:rPr>
        <w:t>的下述服务进行</w:t>
      </w:r>
      <w:r>
        <w:rPr>
          <w:rFonts w:hint="eastAsia" w:ascii="仿宋" w:hAnsi="仿宋" w:eastAsia="仿宋" w:cs="仿宋"/>
          <w:color w:val="auto"/>
          <w:sz w:val="30"/>
          <w:szCs w:val="30"/>
          <w:highlight w:val="none"/>
          <w:u w:val="single"/>
        </w:rPr>
        <w:t>国内公开招标</w:t>
      </w:r>
      <w:r>
        <w:rPr>
          <w:rFonts w:hint="eastAsia" w:ascii="仿宋" w:hAnsi="仿宋" w:eastAsia="仿宋" w:cs="仿宋"/>
          <w:color w:val="auto"/>
          <w:sz w:val="30"/>
          <w:szCs w:val="30"/>
          <w:highlight w:val="none"/>
        </w:rPr>
        <w:t>，现欢迎国内合格的投标人前来提交密封的投标。</w:t>
      </w:r>
      <w:bookmarkStart w:id="0" w:name="_GoBack"/>
      <w:bookmarkEnd w:id="0"/>
    </w:p>
    <w:p>
      <w:pPr>
        <w:numPr>
          <w:ilvl w:val="0"/>
          <w:numId w:val="1"/>
        </w:numPr>
        <w:spacing w:line="312"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招标编号：HXRH-2022FZ01</w:t>
      </w:r>
      <w:r>
        <w:rPr>
          <w:rFonts w:hint="eastAsia" w:ascii="仿宋" w:hAnsi="仿宋" w:eastAsia="仿宋" w:cs="仿宋"/>
          <w:color w:val="auto"/>
          <w:sz w:val="30"/>
          <w:szCs w:val="30"/>
          <w:highlight w:val="none"/>
          <w:lang w:val="en-US" w:eastAsia="zh-CN"/>
        </w:rPr>
        <w:t>1</w:t>
      </w:r>
    </w:p>
    <w:p>
      <w:pPr>
        <w:numPr>
          <w:ilvl w:val="0"/>
          <w:numId w:val="1"/>
        </w:numPr>
        <w:spacing w:line="312"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招标内容一览表</w:t>
      </w:r>
    </w:p>
    <w:tbl>
      <w:tblPr>
        <w:tblStyle w:val="5"/>
        <w:tblW w:w="82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2"/>
        <w:gridCol w:w="3485"/>
        <w:gridCol w:w="1096"/>
        <w:gridCol w:w="27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blHeader/>
          <w:jc w:val="center"/>
        </w:trPr>
        <w:tc>
          <w:tcPr>
            <w:tcW w:w="962" w:type="dxa"/>
            <w:vAlign w:val="center"/>
          </w:tcPr>
          <w:p>
            <w:pPr>
              <w:spacing w:line="312"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合同包</w:t>
            </w:r>
          </w:p>
        </w:tc>
        <w:tc>
          <w:tcPr>
            <w:tcW w:w="3485" w:type="dxa"/>
            <w:vAlign w:val="center"/>
          </w:tcPr>
          <w:p>
            <w:pPr>
              <w:spacing w:line="312"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项目名称</w:t>
            </w:r>
          </w:p>
        </w:tc>
        <w:tc>
          <w:tcPr>
            <w:tcW w:w="1096" w:type="dxa"/>
            <w:vAlign w:val="center"/>
          </w:tcPr>
          <w:p>
            <w:pPr>
              <w:spacing w:line="312"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数量</w:t>
            </w:r>
          </w:p>
        </w:tc>
        <w:tc>
          <w:tcPr>
            <w:tcW w:w="2714" w:type="dxa"/>
            <w:vAlign w:val="center"/>
          </w:tcPr>
          <w:p>
            <w:pPr>
              <w:spacing w:line="312"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主要技术规格及要求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2" w:hRule="atLeast"/>
          <w:tblHeader/>
          <w:jc w:val="center"/>
        </w:trPr>
        <w:tc>
          <w:tcPr>
            <w:tcW w:w="962" w:type="dxa"/>
            <w:vAlign w:val="center"/>
          </w:tcPr>
          <w:p>
            <w:pPr>
              <w:spacing w:line="312"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1</w:t>
            </w:r>
          </w:p>
        </w:tc>
        <w:tc>
          <w:tcPr>
            <w:tcW w:w="3485" w:type="dxa"/>
            <w:vAlign w:val="center"/>
          </w:tcPr>
          <w:p>
            <w:pPr>
              <w:spacing w:line="312"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第三方配送服务</w:t>
            </w:r>
            <w:r>
              <w:rPr>
                <w:rFonts w:hint="eastAsia" w:ascii="仿宋" w:hAnsi="仿宋" w:eastAsia="仿宋" w:cs="仿宋"/>
                <w:color w:val="auto"/>
                <w:sz w:val="30"/>
                <w:szCs w:val="30"/>
                <w:highlight w:val="none"/>
              </w:rPr>
              <w:t>采购项目</w:t>
            </w:r>
          </w:p>
        </w:tc>
        <w:tc>
          <w:tcPr>
            <w:tcW w:w="1096" w:type="dxa"/>
            <w:vAlign w:val="center"/>
          </w:tcPr>
          <w:p>
            <w:pPr>
              <w:spacing w:line="312"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w:t>
            </w:r>
            <w:r>
              <w:rPr>
                <w:rFonts w:hint="eastAsia" w:ascii="仿宋" w:hAnsi="仿宋" w:eastAsia="仿宋" w:cs="仿宋"/>
                <w:color w:val="auto"/>
                <w:sz w:val="30"/>
                <w:szCs w:val="30"/>
                <w:highlight w:val="none"/>
                <w:lang w:val="en-US" w:eastAsia="zh-CN"/>
              </w:rPr>
              <w:t>项</w:t>
            </w:r>
          </w:p>
        </w:tc>
        <w:tc>
          <w:tcPr>
            <w:tcW w:w="2714" w:type="dxa"/>
            <w:vAlign w:val="center"/>
          </w:tcPr>
          <w:p>
            <w:pPr>
              <w:spacing w:line="312"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详见招标文件第三章“招标内容及要求”</w:t>
            </w:r>
          </w:p>
        </w:tc>
      </w:tr>
    </w:tbl>
    <w:p>
      <w:pPr>
        <w:spacing w:line="312" w:lineRule="auto"/>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t>说明：</w:t>
      </w:r>
    </w:p>
    <w:p>
      <w:pPr>
        <w:spacing w:line="312" w:lineRule="auto"/>
        <w:ind w:firstLine="602" w:firstLineChars="200"/>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t>供应商应对上述整个合同包服务按照招标文件要求进行完整响应，不得仅对同一个合同包中的部分服务进行响应，不得负偏离招标文件的要求进行响应，否则将被视为未实质性响应招标文件要求，其响应文件将被拒绝。</w:t>
      </w:r>
    </w:p>
    <w:p>
      <w:pPr>
        <w:spacing w:line="312"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三、投标人资格要求：</w:t>
      </w:r>
    </w:p>
    <w:p>
      <w:pPr>
        <w:pStyle w:val="2"/>
        <w:ind w:firstLine="600" w:firstLineChars="200"/>
        <w:rPr>
          <w:rFonts w:hint="eastAsia" w:ascii="仿宋" w:hAnsi="仿宋" w:eastAsia="仿宋" w:cs="仿宋"/>
          <w:bCs/>
          <w:color w:val="auto"/>
          <w:sz w:val="30"/>
          <w:szCs w:val="30"/>
          <w:highlight w:val="none"/>
        </w:rPr>
      </w:pPr>
      <w:r>
        <w:rPr>
          <w:rFonts w:hint="eastAsia" w:ascii="仿宋" w:hAnsi="仿宋" w:eastAsia="仿宋" w:cs="仿宋"/>
          <w:bCs/>
          <w:color w:val="auto"/>
          <w:sz w:val="30"/>
          <w:szCs w:val="30"/>
          <w:highlight w:val="none"/>
        </w:rPr>
        <w:t>3.1具备能力提供本招标文件所述服务的，具有独立法人资格的境内投标人，提供合格营业执照副本复印件并加盖投标人单位公章，且投标人不得为外资企业或外资控股企业。</w:t>
      </w:r>
    </w:p>
    <w:p>
      <w:pPr>
        <w:widowControl/>
        <w:tabs>
          <w:tab w:val="left" w:pos="900"/>
          <w:tab w:val="left" w:pos="1100"/>
        </w:tabs>
        <w:spacing w:line="264" w:lineRule="auto"/>
        <w:ind w:firstLine="600" w:firstLineChars="200"/>
        <w:rPr>
          <w:rFonts w:hint="eastAsia" w:ascii="仿宋" w:hAnsi="仿宋" w:eastAsia="仿宋" w:cs="仿宋"/>
          <w:bCs/>
          <w:color w:val="auto"/>
          <w:sz w:val="30"/>
          <w:szCs w:val="30"/>
          <w:highlight w:val="none"/>
        </w:rPr>
      </w:pPr>
      <w:r>
        <w:rPr>
          <w:rFonts w:hint="eastAsia" w:ascii="仿宋" w:hAnsi="仿宋" w:eastAsia="仿宋" w:cs="仿宋"/>
          <w:bCs/>
          <w:color w:val="auto"/>
          <w:sz w:val="30"/>
          <w:szCs w:val="30"/>
          <w:highlight w:val="none"/>
        </w:rPr>
        <w:t>3.2具备履行合同所必需的设备和专业技术能力的的声明函。</w:t>
      </w:r>
    </w:p>
    <w:p>
      <w:pPr>
        <w:widowControl/>
        <w:tabs>
          <w:tab w:val="left" w:pos="900"/>
          <w:tab w:val="left" w:pos="1100"/>
        </w:tabs>
        <w:spacing w:line="264" w:lineRule="auto"/>
        <w:ind w:firstLine="600" w:firstLineChars="200"/>
        <w:rPr>
          <w:rFonts w:hint="eastAsia" w:ascii="仿宋" w:hAnsi="仿宋" w:eastAsia="仿宋" w:cs="仿宋"/>
          <w:bCs/>
          <w:color w:val="auto"/>
          <w:sz w:val="30"/>
          <w:szCs w:val="30"/>
          <w:highlight w:val="none"/>
        </w:rPr>
      </w:pPr>
      <w:r>
        <w:rPr>
          <w:rFonts w:hint="eastAsia" w:ascii="仿宋" w:hAnsi="仿宋" w:eastAsia="仿宋" w:cs="仿宋"/>
          <w:bCs/>
          <w:color w:val="auto"/>
          <w:sz w:val="30"/>
          <w:szCs w:val="30"/>
          <w:highlight w:val="none"/>
        </w:rPr>
        <w:t>3.3参加采购活动前3年内在经营活动中没有重大违法记录。</w:t>
      </w:r>
    </w:p>
    <w:p>
      <w:pPr>
        <w:widowControl/>
        <w:tabs>
          <w:tab w:val="left" w:pos="900"/>
          <w:tab w:val="left" w:pos="1100"/>
        </w:tabs>
        <w:spacing w:line="264"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bCs/>
          <w:color w:val="auto"/>
          <w:sz w:val="30"/>
          <w:szCs w:val="30"/>
          <w:highlight w:val="none"/>
        </w:rPr>
        <w:t>注：（1）“重大违法记录”指投标人因违法经营受到刑事处罚或责令停产停业、吊销许可证或执照、较大数额罚款等行政处罚；（2）提供参加本次采购活动前3年内在经营活动中没有重大违法记录的书面声明。</w:t>
      </w:r>
    </w:p>
    <w:p>
      <w:pPr>
        <w:widowControl/>
        <w:tabs>
          <w:tab w:val="left" w:pos="900"/>
          <w:tab w:val="left" w:pos="1100"/>
        </w:tabs>
        <w:spacing w:line="264" w:lineRule="auto"/>
        <w:ind w:firstLine="600" w:firstLineChars="200"/>
        <w:rPr>
          <w:rFonts w:hint="eastAsia" w:ascii="仿宋" w:hAnsi="仿宋" w:eastAsia="仿宋" w:cs="仿宋"/>
          <w:bCs/>
          <w:color w:val="auto"/>
          <w:sz w:val="30"/>
          <w:szCs w:val="30"/>
          <w:highlight w:val="none"/>
        </w:rPr>
      </w:pPr>
      <w:r>
        <w:rPr>
          <w:rFonts w:hint="eastAsia" w:ascii="仿宋" w:hAnsi="仿宋" w:eastAsia="仿宋" w:cs="仿宋"/>
          <w:bCs/>
          <w:color w:val="auto"/>
          <w:sz w:val="30"/>
          <w:szCs w:val="30"/>
          <w:highlight w:val="none"/>
        </w:rPr>
        <w:t>3.4无行贿犯罪记录:（1）提供检察机关行贿犯罪档案查询结果告知函；（2）无法提供有效期内检察机关行贿犯罪档案查询结果告知函的，应对近三年无行贿犯罪记录进行声明；（3）声明应为加盖投标人单位公章的原件。</w:t>
      </w:r>
    </w:p>
    <w:p>
      <w:pPr>
        <w:widowControl/>
        <w:tabs>
          <w:tab w:val="left" w:pos="900"/>
          <w:tab w:val="left" w:pos="1100"/>
        </w:tabs>
        <w:spacing w:line="264" w:lineRule="auto"/>
        <w:ind w:firstLine="600" w:firstLineChars="200"/>
        <w:rPr>
          <w:rFonts w:hint="eastAsia" w:ascii="仿宋" w:hAnsi="仿宋" w:eastAsia="仿宋" w:cs="仿宋"/>
          <w:bCs/>
          <w:color w:val="auto"/>
          <w:sz w:val="30"/>
          <w:szCs w:val="30"/>
          <w:highlight w:val="none"/>
        </w:rPr>
      </w:pPr>
      <w:r>
        <w:rPr>
          <w:rFonts w:hint="eastAsia" w:ascii="仿宋" w:hAnsi="仿宋" w:eastAsia="仿宋" w:cs="仿宋"/>
          <w:bCs/>
          <w:color w:val="auto"/>
          <w:sz w:val="30"/>
          <w:szCs w:val="30"/>
          <w:highlight w:val="none"/>
        </w:rPr>
        <w:t>3.5无不良信用记录:（1）投标人未被对列入失信被执行人、重大税收违法案件当事人名单、政府采购严重违法失信行为记录名单及其他不良信用记录名单；（2）投标人通过“信用中国”网站（</w:t>
      </w:r>
      <w:r>
        <w:rPr>
          <w:rFonts w:hint="eastAsia" w:ascii="仿宋" w:hAnsi="仿宋" w:eastAsia="仿宋" w:cs="仿宋"/>
          <w:bCs/>
          <w:color w:val="auto"/>
          <w:sz w:val="30"/>
          <w:szCs w:val="30"/>
          <w:highlight w:val="none"/>
        </w:rPr>
        <w:fldChar w:fldCharType="begin"/>
      </w:r>
      <w:r>
        <w:rPr>
          <w:rFonts w:hint="eastAsia" w:ascii="仿宋" w:hAnsi="仿宋" w:eastAsia="仿宋" w:cs="仿宋"/>
          <w:color w:val="auto"/>
          <w:sz w:val="30"/>
          <w:szCs w:val="30"/>
          <w:highlight w:val="none"/>
        </w:rPr>
        <w:instrText xml:space="preserve"> INCLUDEPICTURE "../../Library/Containers/com.tencent.xinWeChat/Data/Library/Application Support/com.tencent.xinWeChat/2.0b4.0.9/0b3b267467f5545af7dcdc45519accac/Message/MessageTemp/Library/Containers/com.tencent.xinWeChat/Data/Library/Application Support/com.tencent.xinWeChat/2.0b4.0.9/0b3b267467f5545af7dcdc45519accac/Message/MessageTemp/9e20f478899dc29eb19741386f9343c8/File/" \* MERGEFORMAT </w:instrText>
      </w:r>
      <w:r>
        <w:rPr>
          <w:rFonts w:hint="eastAsia" w:ascii="仿宋" w:hAnsi="仿宋" w:eastAsia="仿宋" w:cs="仿宋"/>
          <w:bCs/>
          <w:color w:val="auto"/>
          <w:sz w:val="30"/>
          <w:szCs w:val="30"/>
          <w:highlight w:val="none"/>
        </w:rPr>
        <w:fldChar w:fldCharType="separate"/>
      </w:r>
      <w:r>
        <w:rPr>
          <w:rFonts w:hint="eastAsia" w:ascii="仿宋" w:hAnsi="仿宋" w:eastAsia="仿宋" w:cs="仿宋"/>
          <w:bCs/>
          <w:color w:val="auto"/>
          <w:sz w:val="30"/>
          <w:szCs w:val="30"/>
          <w:highlight w:val="none"/>
        </w:rPr>
        <w:fldChar w:fldCharType="begin"/>
      </w:r>
      <w:r>
        <w:rPr>
          <w:rFonts w:hint="eastAsia" w:ascii="仿宋" w:hAnsi="仿宋" w:eastAsia="仿宋" w:cs="仿宋"/>
          <w:color w:val="auto"/>
          <w:sz w:val="30"/>
          <w:szCs w:val="30"/>
          <w:highlight w:val="none"/>
        </w:rPr>
        <w:instrText xml:space="preserve"> INCLUDEPICTURE "../../Library/Containers/com.tencent.xinWeChat/Data/Library/Application Support/com.tencent.xinWeChat/2.0b4.0.9/0b3b267467f5545af7dcdc45519accac/Message/MessageTemp/Library/Containers/com.tencent.xinWeChat/Data/Library/Application Support/com.tencent.xinWeChat/2.0b4.0.9/0b3b267467f5545af7dcdc45519accac/Message/MessageTemp/9e20f478899dc29eb19741386f9343c8/File/" \* MERGEFORMAT </w:instrText>
      </w:r>
      <w:r>
        <w:rPr>
          <w:rFonts w:hint="eastAsia" w:ascii="仿宋" w:hAnsi="仿宋" w:eastAsia="仿宋" w:cs="仿宋"/>
          <w:bCs/>
          <w:color w:val="auto"/>
          <w:sz w:val="30"/>
          <w:szCs w:val="30"/>
          <w:highlight w:val="none"/>
        </w:rPr>
        <w:fldChar w:fldCharType="separate"/>
      </w:r>
      <w:r>
        <w:rPr>
          <w:rFonts w:hint="eastAsia" w:ascii="仿宋" w:hAnsi="仿宋" w:eastAsia="仿宋" w:cs="仿宋"/>
          <w:bCs/>
          <w:color w:val="auto"/>
          <w:sz w:val="30"/>
          <w:szCs w:val="30"/>
          <w:highlight w:val="none"/>
        </w:rPr>
        <w:fldChar w:fldCharType="begin"/>
      </w:r>
      <w:r>
        <w:rPr>
          <w:rFonts w:hint="eastAsia" w:ascii="仿宋" w:hAnsi="仿宋" w:eastAsia="仿宋" w:cs="仿宋"/>
          <w:color w:val="auto"/>
          <w:sz w:val="30"/>
          <w:szCs w:val="30"/>
          <w:highlight w:val="none"/>
        </w:rPr>
        <w:instrText xml:space="preserve"> INCLUDEPICTURE "../../Library/Containers/com.tencent.xinWeChat/Data/Library/Application Support/com.tencent.xinWeChat/2.0b4.0.9/0b3b267467f5545af7dcdc45519accac/Message/MessageTemp/Library/Containers/com.tencent.xinWeChat/Data/Library/Application Support/com.tencent.xinWeChat/2.0b4.0.9/0b3b267467f5545af7dcdc45519accac/Message/MessageTemp/9e20f478899dc29eb19741386f9343c8/File/" \* MERGEFORMAT </w:instrText>
      </w:r>
      <w:r>
        <w:rPr>
          <w:rFonts w:hint="eastAsia" w:ascii="仿宋" w:hAnsi="仿宋" w:eastAsia="仿宋" w:cs="仿宋"/>
          <w:bCs/>
          <w:color w:val="auto"/>
          <w:sz w:val="30"/>
          <w:szCs w:val="30"/>
          <w:highlight w:val="none"/>
        </w:rPr>
        <w:fldChar w:fldCharType="separate"/>
      </w:r>
      <w:r>
        <w:rPr>
          <w:rFonts w:hint="eastAsia" w:ascii="仿宋" w:hAnsi="仿宋" w:eastAsia="仿宋" w:cs="仿宋"/>
          <w:bCs/>
          <w:color w:val="auto"/>
          <w:sz w:val="30"/>
          <w:szCs w:val="30"/>
          <w:highlight w:val="none"/>
        </w:rPr>
        <w:fldChar w:fldCharType="begin"/>
      </w:r>
      <w:r>
        <w:rPr>
          <w:rFonts w:hint="eastAsia" w:ascii="仿宋" w:hAnsi="仿宋" w:eastAsia="仿宋" w:cs="仿宋"/>
          <w:color w:val="auto"/>
          <w:sz w:val="30"/>
          <w:szCs w:val="30"/>
          <w:highlight w:val="none"/>
        </w:rPr>
        <w:instrText xml:space="preserve"> INCLUDEPICTURE "../../Library/Containers/com.tencent.xinWeChat/Data/Library/Application Support/com.tencent.xinWeChat/2.0b4.0.9/0b3b267467f5545af7dcdc45519accac/Message/MessageTemp/Library/Containers/com.tencent.xinWeChat/Data/Library/Application Support/com.tencent.xinWeChat/2.0b4.0.9/0b3b267467f5545af7dcdc45519accac/Message/MessageTemp/9e20f478899dc29eb19741386f9343c8/File/" \* MERGEFORMAT </w:instrText>
      </w:r>
      <w:r>
        <w:rPr>
          <w:rFonts w:hint="eastAsia" w:ascii="仿宋" w:hAnsi="仿宋" w:eastAsia="仿宋" w:cs="仿宋"/>
          <w:bCs/>
          <w:color w:val="auto"/>
          <w:sz w:val="30"/>
          <w:szCs w:val="30"/>
          <w:highlight w:val="none"/>
        </w:rPr>
        <w:fldChar w:fldCharType="separate"/>
      </w:r>
      <w:r>
        <w:rPr>
          <w:rFonts w:hint="eastAsia" w:ascii="仿宋" w:hAnsi="仿宋" w:eastAsia="仿宋" w:cs="仿宋"/>
          <w:bCs/>
          <w:color w:val="auto"/>
          <w:sz w:val="30"/>
          <w:szCs w:val="30"/>
          <w:highlight w:val="none"/>
        </w:rPr>
        <w:fldChar w:fldCharType="begin"/>
      </w:r>
      <w:r>
        <w:rPr>
          <w:rFonts w:hint="eastAsia" w:ascii="仿宋" w:hAnsi="仿宋" w:eastAsia="仿宋" w:cs="仿宋"/>
          <w:color w:val="auto"/>
          <w:sz w:val="30"/>
          <w:szCs w:val="30"/>
          <w:highlight w:val="none"/>
        </w:rPr>
        <w:instrText xml:space="preserve"> INCLUDEPICTURE "../../Library/Containers/com.tencent.xinWeChat/Data/Library/Application Support/com.tencent.xinWeChat/2.0b4.0.9/0b3b267467f5545af7dcdc45519accac/Message/MessageTemp/Library/Containers/com.tencent.xinWeChat/Data/Library/Application Support/com.tencent.xinWeChat/2.0b4.0.9/0b3b267467f5545af7dcdc45519accac/Message/MessageTemp/9e20f478899dc29eb19741386f9343c8/File/" \* MERGEFORMAT </w:instrText>
      </w:r>
      <w:r>
        <w:rPr>
          <w:rFonts w:hint="eastAsia" w:ascii="仿宋" w:hAnsi="仿宋" w:eastAsia="仿宋" w:cs="仿宋"/>
          <w:bCs/>
          <w:color w:val="auto"/>
          <w:sz w:val="30"/>
          <w:szCs w:val="30"/>
          <w:highlight w:val="none"/>
        </w:rPr>
        <w:fldChar w:fldCharType="separate"/>
      </w:r>
      <w:r>
        <w:rPr>
          <w:rFonts w:hint="eastAsia" w:ascii="仿宋" w:hAnsi="仿宋" w:eastAsia="仿宋" w:cs="仿宋"/>
          <w:bCs/>
          <w:color w:val="auto"/>
          <w:sz w:val="30"/>
          <w:szCs w:val="30"/>
          <w:highlight w:val="none"/>
        </w:rPr>
        <w:fldChar w:fldCharType="begin"/>
      </w:r>
      <w:r>
        <w:rPr>
          <w:rFonts w:hint="eastAsia" w:ascii="仿宋" w:hAnsi="仿宋" w:eastAsia="仿宋" w:cs="仿宋"/>
          <w:color w:val="auto"/>
          <w:sz w:val="30"/>
          <w:szCs w:val="30"/>
          <w:highlight w:val="none"/>
        </w:rPr>
        <w:instrText xml:space="preserve"> INCLUDEPICTURE "../../Library/Containers/com.tencent.xinWeChat/Data/Library/Application Support/com.tencent.xinWeChat/2.0b4.0.9/0b3b267467f5545af7dcdc45519accac/Message/MessageTemp/Library/Containers/com.tencent.xinWeChat/Data/Library/Application Support/com.tencent.xinWeChat/2.0b4.0.9/0b3b267467f5545af7dcdc45519accac/Message/MessageTemp/9e20f478899dc29eb19741386f9343c8/File/" \* MERGEFORMAT </w:instrText>
      </w:r>
      <w:r>
        <w:rPr>
          <w:rFonts w:hint="eastAsia" w:ascii="仿宋" w:hAnsi="仿宋" w:eastAsia="仿宋" w:cs="仿宋"/>
          <w:bCs/>
          <w:color w:val="auto"/>
          <w:sz w:val="30"/>
          <w:szCs w:val="30"/>
          <w:highlight w:val="none"/>
        </w:rPr>
        <w:fldChar w:fldCharType="separate"/>
      </w:r>
      <w:r>
        <w:rPr>
          <w:rFonts w:hint="eastAsia" w:ascii="仿宋" w:hAnsi="仿宋" w:eastAsia="仿宋" w:cs="仿宋"/>
          <w:bCs/>
          <w:color w:val="auto"/>
          <w:sz w:val="30"/>
          <w:szCs w:val="30"/>
          <w:highlight w:val="none"/>
        </w:rPr>
        <w:fldChar w:fldCharType="begin"/>
      </w:r>
      <w:r>
        <w:rPr>
          <w:rFonts w:hint="eastAsia" w:ascii="仿宋" w:hAnsi="仿宋" w:eastAsia="仿宋" w:cs="仿宋"/>
          <w:color w:val="auto"/>
          <w:sz w:val="30"/>
          <w:szCs w:val="30"/>
          <w:highlight w:val="none"/>
        </w:rPr>
        <w:instrText xml:space="preserve"> INCLUDEPICTURE "../../Library/Containers/com.tencent.xinWeChat/Data/Library/Application Support/com.tencent.xinWeChat/2.0b4.0.9/0b3b267467f5545af7dcdc45519accac/Message/MessageTemp/Library/Containers/com.tencent.xinWeChat/Data/Library/Application Support/com.tencent.xinWeChat/2.0b4.0.9/0b3b267467f5545af7dcdc45519accac/Message/MessageTemp/9e20f478899dc29eb19741386f9343c8/File/" \* MERGEFORMAT </w:instrText>
      </w:r>
      <w:r>
        <w:rPr>
          <w:rFonts w:hint="eastAsia" w:ascii="仿宋" w:hAnsi="仿宋" w:eastAsia="仿宋" w:cs="仿宋"/>
          <w:bCs/>
          <w:color w:val="auto"/>
          <w:sz w:val="30"/>
          <w:szCs w:val="30"/>
          <w:highlight w:val="none"/>
        </w:rPr>
        <w:fldChar w:fldCharType="end"/>
      </w:r>
      <w:r>
        <w:rPr>
          <w:rFonts w:hint="eastAsia" w:ascii="仿宋" w:hAnsi="仿宋" w:eastAsia="仿宋" w:cs="仿宋"/>
          <w:bCs/>
          <w:color w:val="auto"/>
          <w:sz w:val="30"/>
          <w:szCs w:val="30"/>
          <w:highlight w:val="none"/>
        </w:rPr>
        <w:fldChar w:fldCharType="end"/>
      </w:r>
      <w:r>
        <w:rPr>
          <w:rFonts w:hint="eastAsia" w:ascii="仿宋" w:hAnsi="仿宋" w:eastAsia="仿宋" w:cs="仿宋"/>
          <w:bCs/>
          <w:color w:val="auto"/>
          <w:sz w:val="30"/>
          <w:szCs w:val="30"/>
          <w:highlight w:val="none"/>
        </w:rPr>
        <w:fldChar w:fldCharType="end"/>
      </w:r>
      <w:r>
        <w:rPr>
          <w:rFonts w:hint="eastAsia" w:ascii="仿宋" w:hAnsi="仿宋" w:eastAsia="仿宋" w:cs="仿宋"/>
          <w:bCs/>
          <w:color w:val="auto"/>
          <w:sz w:val="30"/>
          <w:szCs w:val="30"/>
          <w:highlight w:val="none"/>
        </w:rPr>
        <w:fldChar w:fldCharType="end"/>
      </w:r>
      <w:r>
        <w:rPr>
          <w:rFonts w:hint="eastAsia" w:ascii="仿宋" w:hAnsi="仿宋" w:eastAsia="仿宋" w:cs="仿宋"/>
          <w:bCs/>
          <w:color w:val="auto"/>
          <w:sz w:val="30"/>
          <w:szCs w:val="30"/>
          <w:highlight w:val="none"/>
        </w:rPr>
        <w:fldChar w:fldCharType="end"/>
      </w:r>
      <w:r>
        <w:rPr>
          <w:rFonts w:hint="eastAsia" w:ascii="仿宋" w:hAnsi="仿宋" w:eastAsia="仿宋" w:cs="仿宋"/>
          <w:bCs/>
          <w:color w:val="auto"/>
          <w:sz w:val="30"/>
          <w:szCs w:val="30"/>
          <w:highlight w:val="none"/>
        </w:rPr>
        <w:fldChar w:fldCharType="end"/>
      </w:r>
      <w:r>
        <w:rPr>
          <w:rFonts w:hint="eastAsia" w:ascii="仿宋" w:hAnsi="仿宋" w:eastAsia="仿宋" w:cs="仿宋"/>
          <w:bCs/>
          <w:color w:val="auto"/>
          <w:sz w:val="30"/>
          <w:szCs w:val="30"/>
          <w:highlight w:val="none"/>
        </w:rPr>
        <w:fldChar w:fldCharType="end"/>
      </w:r>
      <w:r>
        <w:rPr>
          <w:rFonts w:hint="eastAsia" w:ascii="仿宋" w:hAnsi="仿宋" w:eastAsia="仿宋" w:cs="仿宋"/>
          <w:bCs/>
          <w:color w:val="auto"/>
          <w:sz w:val="30"/>
          <w:szCs w:val="30"/>
          <w:highlight w:val="none"/>
        </w:rPr>
        <w:t>www.creditchina.gov.cn）、</w:t>
      </w:r>
      <w:r>
        <w:rPr>
          <w:rFonts w:hint="eastAsia" w:ascii="仿宋" w:hAnsi="仿宋" w:eastAsia="仿宋" w:cs="仿宋"/>
          <w:color w:val="auto"/>
          <w:sz w:val="30"/>
          <w:szCs w:val="30"/>
          <w:highlight w:val="none"/>
        </w:rPr>
        <w:t>中国政府采购网（www.ccgp.gov.cn）</w:t>
      </w:r>
      <w:r>
        <w:rPr>
          <w:rFonts w:hint="eastAsia" w:ascii="仿宋" w:hAnsi="仿宋" w:eastAsia="仿宋" w:cs="仿宋"/>
          <w:bCs/>
          <w:color w:val="auto"/>
          <w:sz w:val="30"/>
          <w:szCs w:val="30"/>
          <w:highlight w:val="none"/>
        </w:rPr>
        <w:t>查询无严重违法失信行为信息记录的打印件（或截图打印件）加盖投标人单位公章。</w:t>
      </w:r>
    </w:p>
    <w:p>
      <w:pPr>
        <w:widowControl/>
        <w:tabs>
          <w:tab w:val="left" w:pos="900"/>
          <w:tab w:val="left" w:pos="1100"/>
        </w:tabs>
        <w:spacing w:line="264" w:lineRule="auto"/>
        <w:ind w:firstLine="600" w:firstLineChars="200"/>
        <w:rPr>
          <w:rFonts w:hint="eastAsia" w:ascii="仿宋" w:hAnsi="仿宋" w:eastAsia="仿宋" w:cs="仿宋"/>
          <w:bCs/>
          <w:color w:val="auto"/>
          <w:sz w:val="30"/>
          <w:szCs w:val="30"/>
          <w:highlight w:val="none"/>
        </w:rPr>
      </w:pPr>
      <w:r>
        <w:rPr>
          <w:rFonts w:hint="eastAsia" w:ascii="仿宋" w:hAnsi="仿宋" w:eastAsia="仿宋" w:cs="仿宋"/>
          <w:bCs/>
          <w:color w:val="auto"/>
          <w:sz w:val="30"/>
          <w:szCs w:val="30"/>
          <w:highlight w:val="none"/>
        </w:rPr>
        <w:t>3.6一个投标人只能提交一个报价文件。但如果投标人之间存在下列互为关联关系的情形之一的，不得同时参加本项目投标：</w:t>
      </w:r>
    </w:p>
    <w:p>
      <w:pPr>
        <w:widowControl/>
        <w:tabs>
          <w:tab w:val="left" w:pos="900"/>
          <w:tab w:val="left" w:pos="1100"/>
        </w:tabs>
        <w:spacing w:line="264" w:lineRule="auto"/>
        <w:ind w:firstLine="600" w:firstLineChars="200"/>
        <w:rPr>
          <w:rFonts w:hint="eastAsia" w:ascii="仿宋" w:hAnsi="仿宋" w:eastAsia="仿宋" w:cs="仿宋"/>
          <w:bCs/>
          <w:color w:val="auto"/>
          <w:sz w:val="30"/>
          <w:szCs w:val="30"/>
          <w:highlight w:val="none"/>
        </w:rPr>
      </w:pPr>
      <w:r>
        <w:rPr>
          <w:rFonts w:hint="eastAsia" w:ascii="仿宋" w:hAnsi="仿宋" w:eastAsia="仿宋" w:cs="仿宋"/>
          <w:bCs/>
          <w:color w:val="auto"/>
          <w:sz w:val="30"/>
          <w:szCs w:val="30"/>
          <w:highlight w:val="none"/>
        </w:rPr>
        <w:t>（1）法定代表人为同一人的两个及两个以上法人；</w:t>
      </w:r>
    </w:p>
    <w:p>
      <w:pPr>
        <w:widowControl/>
        <w:tabs>
          <w:tab w:val="left" w:pos="900"/>
          <w:tab w:val="left" w:pos="1100"/>
        </w:tabs>
        <w:spacing w:line="264" w:lineRule="auto"/>
        <w:ind w:firstLine="600" w:firstLineChars="200"/>
        <w:rPr>
          <w:rFonts w:hint="eastAsia" w:ascii="仿宋" w:hAnsi="仿宋" w:eastAsia="仿宋" w:cs="仿宋"/>
          <w:bCs/>
          <w:color w:val="auto"/>
          <w:sz w:val="30"/>
          <w:szCs w:val="30"/>
          <w:highlight w:val="none"/>
        </w:rPr>
      </w:pPr>
      <w:r>
        <w:rPr>
          <w:rFonts w:hint="eastAsia" w:ascii="仿宋" w:hAnsi="仿宋" w:eastAsia="仿宋" w:cs="仿宋"/>
          <w:bCs/>
          <w:color w:val="auto"/>
          <w:sz w:val="30"/>
          <w:szCs w:val="30"/>
          <w:highlight w:val="none"/>
        </w:rPr>
        <w:t>（2）母公司与绝对控股子公司；</w:t>
      </w:r>
    </w:p>
    <w:p>
      <w:pPr>
        <w:widowControl/>
        <w:tabs>
          <w:tab w:val="left" w:pos="900"/>
          <w:tab w:val="left" w:pos="1100"/>
        </w:tabs>
        <w:spacing w:line="264" w:lineRule="auto"/>
        <w:ind w:firstLine="600" w:firstLineChars="200"/>
        <w:rPr>
          <w:rFonts w:hint="eastAsia" w:ascii="仿宋" w:hAnsi="仿宋" w:eastAsia="仿宋" w:cs="仿宋"/>
          <w:bCs/>
          <w:color w:val="auto"/>
          <w:sz w:val="30"/>
          <w:szCs w:val="30"/>
          <w:highlight w:val="none"/>
        </w:rPr>
      </w:pPr>
      <w:r>
        <w:rPr>
          <w:rFonts w:hint="eastAsia" w:ascii="仿宋" w:hAnsi="仿宋" w:eastAsia="仿宋" w:cs="仿宋"/>
          <w:bCs/>
          <w:color w:val="auto"/>
          <w:sz w:val="30"/>
          <w:szCs w:val="30"/>
          <w:highlight w:val="none"/>
        </w:rPr>
        <w:t>（3）均为同一法人或自然人直接或间接持股50%及以上的被投资公司；</w:t>
      </w:r>
    </w:p>
    <w:p>
      <w:pPr>
        <w:widowControl/>
        <w:tabs>
          <w:tab w:val="left" w:pos="900"/>
          <w:tab w:val="left" w:pos="1100"/>
        </w:tabs>
        <w:spacing w:line="264"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bCs/>
          <w:color w:val="auto"/>
          <w:sz w:val="30"/>
          <w:szCs w:val="30"/>
          <w:highlight w:val="none"/>
        </w:rPr>
        <w:t>3.7本项目不接受联合体报价。</w:t>
      </w:r>
    </w:p>
    <w:p>
      <w:pPr>
        <w:widowControl/>
        <w:spacing w:line="288" w:lineRule="auto"/>
        <w:ind w:left="210" w:leftChars="100" w:firstLine="300" w:firstLineChars="1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四、</w:t>
      </w:r>
      <w:r>
        <w:rPr>
          <w:rFonts w:hint="eastAsia" w:ascii="仿宋" w:hAnsi="仿宋" w:eastAsia="仿宋" w:cs="仿宋"/>
          <w:bCs/>
          <w:color w:val="auto"/>
          <w:sz w:val="30"/>
          <w:szCs w:val="30"/>
          <w:highlight w:val="none"/>
        </w:rPr>
        <w:t>招标文件的获取方式：</w:t>
      </w:r>
    </w:p>
    <w:p>
      <w:pPr>
        <w:widowControl/>
        <w:spacing w:line="288" w:lineRule="auto"/>
        <w:ind w:firstLine="600" w:firstLineChars="200"/>
        <w:rPr>
          <w:rFonts w:hint="eastAsia" w:ascii="仿宋" w:hAnsi="仿宋" w:eastAsia="仿宋" w:cs="仿宋"/>
          <w:bCs/>
          <w:color w:val="auto"/>
          <w:kern w:val="0"/>
          <w:sz w:val="30"/>
          <w:szCs w:val="30"/>
          <w:highlight w:val="none"/>
        </w:rPr>
      </w:pPr>
      <w:r>
        <w:rPr>
          <w:rFonts w:hint="eastAsia" w:ascii="仿宋" w:hAnsi="仿宋" w:eastAsia="仿宋" w:cs="仿宋"/>
          <w:color w:val="auto"/>
          <w:sz w:val="30"/>
          <w:szCs w:val="30"/>
          <w:highlight w:val="none"/>
        </w:rPr>
        <w:t>4.1有意参与投标者可于</w:t>
      </w:r>
      <w:r>
        <w:rPr>
          <w:rFonts w:hint="eastAsia" w:ascii="仿宋" w:hAnsi="仿宋" w:eastAsia="仿宋" w:cs="仿宋"/>
          <w:bCs/>
          <w:color w:val="auto"/>
          <w:sz w:val="30"/>
          <w:szCs w:val="30"/>
          <w:highlight w:val="none"/>
        </w:rPr>
        <w:t>2022年</w:t>
      </w:r>
      <w:r>
        <w:rPr>
          <w:rFonts w:hint="eastAsia" w:ascii="仿宋" w:hAnsi="仿宋" w:eastAsia="仿宋" w:cs="仿宋"/>
          <w:bCs/>
          <w:color w:val="auto"/>
          <w:sz w:val="30"/>
          <w:szCs w:val="30"/>
          <w:highlight w:val="none"/>
          <w:lang w:val="en-US" w:eastAsia="zh-CN"/>
        </w:rPr>
        <w:t>12</w:t>
      </w:r>
      <w:r>
        <w:rPr>
          <w:rFonts w:hint="eastAsia" w:ascii="仿宋" w:hAnsi="仿宋" w:eastAsia="仿宋" w:cs="仿宋"/>
          <w:bCs/>
          <w:color w:val="auto"/>
          <w:sz w:val="30"/>
          <w:szCs w:val="30"/>
          <w:highlight w:val="none"/>
        </w:rPr>
        <w:t>月</w:t>
      </w:r>
      <w:r>
        <w:rPr>
          <w:rFonts w:hint="eastAsia" w:ascii="仿宋" w:hAnsi="仿宋" w:eastAsia="仿宋" w:cs="仿宋"/>
          <w:bCs/>
          <w:color w:val="auto"/>
          <w:sz w:val="30"/>
          <w:szCs w:val="30"/>
          <w:highlight w:val="none"/>
          <w:lang w:val="en-US" w:eastAsia="zh-CN"/>
        </w:rPr>
        <w:t>9</w:t>
      </w:r>
      <w:r>
        <w:rPr>
          <w:rFonts w:hint="eastAsia" w:ascii="仿宋" w:hAnsi="仿宋" w:eastAsia="仿宋" w:cs="仿宋"/>
          <w:bCs/>
          <w:color w:val="auto"/>
          <w:sz w:val="30"/>
          <w:szCs w:val="30"/>
          <w:highlight w:val="none"/>
        </w:rPr>
        <w:t>日至2022年</w:t>
      </w:r>
      <w:r>
        <w:rPr>
          <w:rFonts w:hint="eastAsia" w:ascii="仿宋" w:hAnsi="仿宋" w:eastAsia="仿宋" w:cs="仿宋"/>
          <w:bCs/>
          <w:color w:val="auto"/>
          <w:sz w:val="30"/>
          <w:szCs w:val="30"/>
          <w:highlight w:val="none"/>
          <w:lang w:val="en-US" w:eastAsia="zh-CN"/>
        </w:rPr>
        <w:t>12</w:t>
      </w:r>
      <w:r>
        <w:rPr>
          <w:rFonts w:hint="eastAsia" w:ascii="仿宋" w:hAnsi="仿宋" w:eastAsia="仿宋" w:cs="仿宋"/>
          <w:bCs/>
          <w:color w:val="auto"/>
          <w:sz w:val="30"/>
          <w:szCs w:val="30"/>
          <w:highlight w:val="none"/>
        </w:rPr>
        <w:t>月</w:t>
      </w:r>
      <w:r>
        <w:rPr>
          <w:rFonts w:hint="eastAsia" w:ascii="仿宋" w:hAnsi="仿宋" w:eastAsia="仿宋" w:cs="仿宋"/>
          <w:bCs/>
          <w:color w:val="auto"/>
          <w:sz w:val="30"/>
          <w:szCs w:val="30"/>
          <w:highlight w:val="none"/>
          <w:lang w:val="en-US" w:eastAsia="zh-CN"/>
        </w:rPr>
        <w:t>15</w:t>
      </w:r>
      <w:r>
        <w:rPr>
          <w:rFonts w:hint="eastAsia" w:ascii="仿宋" w:hAnsi="仿宋" w:eastAsia="仿宋" w:cs="仿宋"/>
          <w:bCs/>
          <w:color w:val="auto"/>
          <w:sz w:val="30"/>
          <w:szCs w:val="30"/>
          <w:highlight w:val="none"/>
        </w:rPr>
        <w:t>日（双休日、节假日除外），每天上午8时30分至12时00分，下午14时30分至17时30分（北京时间，下同）</w:t>
      </w:r>
      <w:r>
        <w:rPr>
          <w:rFonts w:hint="eastAsia" w:ascii="仿宋" w:hAnsi="仿宋" w:eastAsia="仿宋" w:cs="仿宋"/>
          <w:color w:val="auto"/>
          <w:sz w:val="30"/>
          <w:szCs w:val="30"/>
          <w:highlight w:val="none"/>
        </w:rPr>
        <w:t>至福建海峡军民融合产业发展有限公司</w:t>
      </w:r>
      <w:r>
        <w:rPr>
          <w:rFonts w:hint="eastAsia" w:ascii="仿宋" w:hAnsi="仿宋" w:eastAsia="仿宋" w:cs="仿宋"/>
          <w:bCs/>
          <w:color w:val="auto"/>
          <w:sz w:val="30"/>
          <w:szCs w:val="30"/>
          <w:highlight w:val="none"/>
        </w:rPr>
        <w:t>( 地址：</w:t>
      </w:r>
      <w:r>
        <w:rPr>
          <w:rFonts w:hint="eastAsia" w:ascii="仿宋" w:hAnsi="仿宋" w:eastAsia="仿宋" w:cs="仿宋"/>
          <w:color w:val="auto"/>
          <w:sz w:val="30"/>
          <w:szCs w:val="30"/>
          <w:highlight w:val="none"/>
        </w:rPr>
        <w:t>福建省福州市仓山区金林路35号互联网小镇2号楼3层</w:t>
      </w:r>
      <w:r>
        <w:rPr>
          <w:rFonts w:hint="eastAsia" w:ascii="仿宋" w:hAnsi="仿宋" w:eastAsia="仿宋" w:cs="仿宋"/>
          <w:bCs/>
          <w:color w:val="auto"/>
          <w:sz w:val="30"/>
          <w:szCs w:val="30"/>
          <w:highlight w:val="none"/>
        </w:rPr>
        <w:t>)报名并领取招标文件或者电话联系邮件获取</w:t>
      </w:r>
      <w:r>
        <w:rPr>
          <w:rFonts w:hint="eastAsia" w:ascii="仿宋" w:hAnsi="仿宋" w:eastAsia="仿宋" w:cs="仿宋"/>
          <w:bCs/>
          <w:color w:val="auto"/>
          <w:kern w:val="0"/>
          <w:sz w:val="30"/>
          <w:szCs w:val="30"/>
          <w:highlight w:val="none"/>
        </w:rPr>
        <w:t>。</w:t>
      </w:r>
    </w:p>
    <w:p>
      <w:pPr>
        <w:widowControl/>
        <w:spacing w:line="288" w:lineRule="auto"/>
        <w:ind w:firstLine="600" w:firstLineChars="200"/>
        <w:rPr>
          <w:rFonts w:hint="eastAsia" w:ascii="仿宋" w:hAnsi="仿宋" w:eastAsia="仿宋" w:cs="仿宋"/>
          <w:bCs/>
          <w:color w:val="auto"/>
          <w:kern w:val="0"/>
          <w:sz w:val="30"/>
          <w:szCs w:val="30"/>
          <w:highlight w:val="none"/>
        </w:rPr>
      </w:pPr>
      <w:r>
        <w:rPr>
          <w:rFonts w:hint="eastAsia" w:ascii="仿宋" w:hAnsi="仿宋" w:eastAsia="仿宋" w:cs="仿宋"/>
          <w:bCs/>
          <w:color w:val="auto"/>
          <w:kern w:val="0"/>
          <w:sz w:val="30"/>
          <w:szCs w:val="30"/>
          <w:highlight w:val="none"/>
        </w:rPr>
        <w:t>4.1.1现场获取招标文件，需携带：</w:t>
      </w:r>
    </w:p>
    <w:p>
      <w:pPr>
        <w:widowControl/>
        <w:spacing w:line="288" w:lineRule="auto"/>
        <w:ind w:firstLine="600" w:firstLineChars="200"/>
        <w:rPr>
          <w:rFonts w:hint="eastAsia" w:ascii="仿宋" w:hAnsi="仿宋" w:eastAsia="仿宋" w:cs="仿宋"/>
          <w:bCs/>
          <w:color w:val="auto"/>
          <w:kern w:val="0"/>
          <w:sz w:val="30"/>
          <w:szCs w:val="30"/>
          <w:highlight w:val="none"/>
        </w:rPr>
      </w:pPr>
      <w:r>
        <w:rPr>
          <w:rFonts w:hint="eastAsia" w:ascii="仿宋" w:hAnsi="仿宋" w:eastAsia="仿宋" w:cs="仿宋"/>
          <w:bCs/>
          <w:color w:val="auto"/>
          <w:kern w:val="0"/>
          <w:sz w:val="30"/>
          <w:szCs w:val="30"/>
          <w:highlight w:val="none"/>
        </w:rPr>
        <w:t>（1）代理获取人身份证原件、公司授权证明（格式自拟）；</w:t>
      </w:r>
    </w:p>
    <w:p>
      <w:pPr>
        <w:widowControl/>
        <w:spacing w:line="288" w:lineRule="auto"/>
        <w:ind w:firstLine="600" w:firstLineChars="200"/>
        <w:rPr>
          <w:rFonts w:hint="eastAsia" w:ascii="仿宋" w:hAnsi="仿宋" w:eastAsia="仿宋" w:cs="仿宋"/>
          <w:bCs/>
          <w:color w:val="auto"/>
          <w:kern w:val="0"/>
          <w:sz w:val="30"/>
          <w:szCs w:val="30"/>
          <w:highlight w:val="none"/>
        </w:rPr>
      </w:pPr>
      <w:r>
        <w:rPr>
          <w:rFonts w:hint="eastAsia" w:ascii="仿宋" w:hAnsi="仿宋" w:eastAsia="仿宋" w:cs="仿宋"/>
          <w:bCs/>
          <w:color w:val="auto"/>
          <w:kern w:val="0"/>
          <w:sz w:val="30"/>
          <w:szCs w:val="30"/>
          <w:highlight w:val="none"/>
        </w:rPr>
        <w:t>（2）出示48小时内有效的核酸检测报告；</w:t>
      </w:r>
    </w:p>
    <w:p>
      <w:pPr>
        <w:widowControl/>
        <w:spacing w:line="288" w:lineRule="auto"/>
        <w:ind w:firstLine="600" w:firstLineChars="200"/>
        <w:rPr>
          <w:rFonts w:hint="eastAsia" w:ascii="仿宋" w:hAnsi="仿宋" w:eastAsia="仿宋" w:cs="仿宋"/>
          <w:bCs/>
          <w:color w:val="auto"/>
          <w:kern w:val="0"/>
          <w:sz w:val="30"/>
          <w:szCs w:val="30"/>
          <w:highlight w:val="none"/>
        </w:rPr>
      </w:pPr>
      <w:r>
        <w:rPr>
          <w:rFonts w:hint="eastAsia" w:ascii="仿宋" w:hAnsi="仿宋" w:eastAsia="仿宋" w:cs="仿宋"/>
          <w:bCs/>
          <w:color w:val="auto"/>
          <w:kern w:val="0"/>
          <w:sz w:val="30"/>
          <w:szCs w:val="30"/>
          <w:highlight w:val="none"/>
        </w:rPr>
        <w:t>（3）携带购买标书对公转账凭证。</w:t>
      </w:r>
    </w:p>
    <w:p>
      <w:pPr>
        <w:widowControl/>
        <w:spacing w:line="288" w:lineRule="auto"/>
        <w:ind w:firstLine="600" w:firstLineChars="200"/>
        <w:rPr>
          <w:rFonts w:hint="eastAsia" w:ascii="仿宋" w:hAnsi="仿宋" w:eastAsia="仿宋" w:cs="仿宋"/>
          <w:bCs/>
          <w:color w:val="auto"/>
          <w:kern w:val="0"/>
          <w:sz w:val="30"/>
          <w:szCs w:val="30"/>
          <w:highlight w:val="none"/>
        </w:rPr>
      </w:pPr>
      <w:r>
        <w:rPr>
          <w:rFonts w:hint="eastAsia" w:ascii="仿宋" w:hAnsi="仿宋" w:eastAsia="仿宋" w:cs="仿宋"/>
          <w:bCs/>
          <w:color w:val="auto"/>
          <w:kern w:val="0"/>
          <w:sz w:val="30"/>
          <w:szCs w:val="30"/>
          <w:highlight w:val="none"/>
        </w:rPr>
        <w:t>4.1.2电话邮件获取文件，需提供以下加盖公章原件扫描件发送至我司邮箱（hxjmrhzb@163.com）：</w:t>
      </w:r>
    </w:p>
    <w:p>
      <w:pPr>
        <w:widowControl/>
        <w:spacing w:line="288" w:lineRule="auto"/>
        <w:ind w:firstLine="600" w:firstLineChars="200"/>
        <w:rPr>
          <w:rFonts w:hint="eastAsia" w:ascii="仿宋" w:hAnsi="仿宋" w:eastAsia="仿宋" w:cs="仿宋"/>
          <w:bCs/>
          <w:color w:val="auto"/>
          <w:kern w:val="0"/>
          <w:sz w:val="30"/>
          <w:szCs w:val="30"/>
          <w:highlight w:val="none"/>
        </w:rPr>
      </w:pPr>
      <w:r>
        <w:rPr>
          <w:rFonts w:hint="eastAsia" w:ascii="仿宋" w:hAnsi="仿宋" w:eastAsia="仿宋" w:cs="仿宋"/>
          <w:bCs/>
          <w:color w:val="auto"/>
          <w:kern w:val="0"/>
          <w:sz w:val="30"/>
          <w:szCs w:val="30"/>
          <w:highlight w:val="none"/>
        </w:rPr>
        <w:t>（1）代理获取人身份证复印件及联系电话、公司授权证明（格式自拟）；</w:t>
      </w:r>
    </w:p>
    <w:p>
      <w:pPr>
        <w:widowControl/>
        <w:spacing w:line="288" w:lineRule="auto"/>
        <w:ind w:firstLine="600" w:firstLineChars="200"/>
        <w:rPr>
          <w:rFonts w:hint="eastAsia" w:ascii="仿宋" w:hAnsi="仿宋" w:eastAsia="仿宋" w:cs="仿宋"/>
          <w:bCs/>
          <w:color w:val="auto"/>
          <w:kern w:val="0"/>
          <w:sz w:val="30"/>
          <w:szCs w:val="30"/>
          <w:highlight w:val="none"/>
        </w:rPr>
      </w:pPr>
      <w:r>
        <w:rPr>
          <w:rFonts w:hint="eastAsia" w:ascii="仿宋" w:hAnsi="仿宋" w:eastAsia="仿宋" w:cs="仿宋"/>
          <w:bCs/>
          <w:color w:val="auto"/>
          <w:kern w:val="0"/>
          <w:sz w:val="30"/>
          <w:szCs w:val="30"/>
          <w:highlight w:val="none"/>
        </w:rPr>
        <w:t>（2）购买标书对公转账凭证；</w:t>
      </w:r>
    </w:p>
    <w:p>
      <w:pPr>
        <w:pStyle w:val="2"/>
        <w:ind w:firstLine="600" w:firstLineChars="200"/>
        <w:rPr>
          <w:rFonts w:hint="eastAsia" w:ascii="仿宋" w:hAnsi="仿宋" w:eastAsia="仿宋" w:cs="仿宋"/>
          <w:color w:val="auto"/>
          <w:sz w:val="30"/>
          <w:szCs w:val="30"/>
          <w:highlight w:val="none"/>
        </w:rPr>
      </w:pPr>
      <w:r>
        <w:rPr>
          <w:rFonts w:hint="eastAsia" w:ascii="仿宋" w:hAnsi="仿宋" w:eastAsia="仿宋" w:cs="仿宋"/>
          <w:bCs/>
          <w:color w:val="auto"/>
          <w:kern w:val="0"/>
          <w:sz w:val="30"/>
          <w:szCs w:val="30"/>
          <w:highlight w:val="none"/>
        </w:rPr>
        <w:t>（3）接收招标文件的电子邮箱。</w:t>
      </w:r>
    </w:p>
    <w:p>
      <w:pPr>
        <w:widowControl/>
        <w:spacing w:line="288"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4.2招标文件售价100元，售后不退（只接受投标人对公转账，备注购买标书+项目编号）。如需开票，请将开票信息在开标之前单独发送至我司邮箱，逾期将视为无需开票。</w:t>
      </w:r>
    </w:p>
    <w:p>
      <w:pPr>
        <w:widowControl/>
        <w:tabs>
          <w:tab w:val="left" w:pos="510"/>
          <w:tab w:val="left" w:pos="900"/>
          <w:tab w:val="left" w:pos="1100"/>
        </w:tabs>
        <w:spacing w:line="288"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五、投标文件的递交</w:t>
      </w:r>
    </w:p>
    <w:p>
      <w:pPr>
        <w:widowControl/>
        <w:tabs>
          <w:tab w:val="left" w:pos="0"/>
          <w:tab w:val="left" w:pos="900"/>
          <w:tab w:val="left" w:pos="1100"/>
        </w:tabs>
        <w:spacing w:line="288"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5.1.递交投标文件的截止时间：2022年</w:t>
      </w:r>
      <w:r>
        <w:rPr>
          <w:rFonts w:hint="eastAsia" w:ascii="仿宋" w:hAnsi="仿宋" w:eastAsia="仿宋" w:cs="仿宋"/>
          <w:color w:val="auto"/>
          <w:sz w:val="30"/>
          <w:szCs w:val="30"/>
          <w:highlight w:val="none"/>
          <w:lang w:val="en-US" w:eastAsia="zh-CN"/>
        </w:rPr>
        <w:t>12</w:t>
      </w:r>
      <w:r>
        <w:rPr>
          <w:rFonts w:hint="eastAsia" w:ascii="仿宋" w:hAnsi="仿宋" w:eastAsia="仿宋" w:cs="仿宋"/>
          <w:color w:val="auto"/>
          <w:sz w:val="30"/>
          <w:szCs w:val="30"/>
          <w:highlight w:val="none"/>
        </w:rPr>
        <w:t>月</w:t>
      </w:r>
      <w:r>
        <w:rPr>
          <w:rFonts w:hint="eastAsia" w:ascii="仿宋" w:hAnsi="仿宋" w:eastAsia="仿宋" w:cs="仿宋"/>
          <w:color w:val="auto"/>
          <w:sz w:val="30"/>
          <w:szCs w:val="30"/>
          <w:highlight w:val="none"/>
          <w:lang w:val="en-US" w:eastAsia="zh-CN"/>
        </w:rPr>
        <w:t>16</w:t>
      </w:r>
      <w:r>
        <w:rPr>
          <w:rFonts w:hint="eastAsia" w:ascii="仿宋" w:hAnsi="仿宋" w:eastAsia="仿宋" w:cs="仿宋"/>
          <w:color w:val="auto"/>
          <w:sz w:val="30"/>
          <w:szCs w:val="30"/>
          <w:highlight w:val="none"/>
        </w:rPr>
        <w:t>日上午09时30分00秒，提交地点为福建省福州市台江区江滨中大道403号会议室。</w:t>
      </w:r>
    </w:p>
    <w:p>
      <w:pPr>
        <w:widowControl/>
        <w:tabs>
          <w:tab w:val="left" w:pos="0"/>
          <w:tab w:val="left" w:pos="900"/>
          <w:tab w:val="left" w:pos="1100"/>
        </w:tabs>
        <w:spacing w:line="288"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5.2.投标人如派代表须持授权委托书原件、委托代理人的身份证原件及复印件（由法定代表人到场的，应持法定代表人身份证明书原件及身份证复印件）和购买招标文件收款凭证原件和复印件等资料递交投标文件，否则，其投标文件不予受理。每一张购买招标文件收款凭证原件只能递交一家投标人的投标文件。</w:t>
      </w:r>
    </w:p>
    <w:p>
      <w:pPr>
        <w:pStyle w:val="3"/>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5.3.投标人若快递递交投标文件，须在规定递交投标文件截止时间之前送达招标人指定地点，未按招标文件规定地点及投标截止时间送达招标人的，其后果由投标人自行承担。</w:t>
      </w:r>
    </w:p>
    <w:p>
      <w:pPr>
        <w:widowControl/>
        <w:tabs>
          <w:tab w:val="left" w:pos="0"/>
          <w:tab w:val="left" w:pos="900"/>
          <w:tab w:val="left" w:pos="1100"/>
        </w:tabs>
        <w:spacing w:line="288"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5.4.逾期送达的或未送达指定地点的或不符合招标文件规定要求的投标文件，招标人不予受理。</w:t>
      </w:r>
    </w:p>
    <w:p>
      <w:pPr>
        <w:widowControl/>
        <w:spacing w:line="264" w:lineRule="auto"/>
        <w:ind w:firstLine="600" w:firstLineChars="200"/>
        <w:rPr>
          <w:rFonts w:hint="eastAsia" w:ascii="仿宋" w:hAnsi="仿宋" w:eastAsia="仿宋" w:cs="仿宋"/>
          <w:color w:val="auto"/>
          <w:sz w:val="30"/>
          <w:szCs w:val="30"/>
          <w:highlight w:val="none"/>
          <w:u w:val="single"/>
        </w:rPr>
      </w:pPr>
      <w:r>
        <w:rPr>
          <w:rFonts w:hint="eastAsia" w:ascii="仿宋" w:hAnsi="仿宋" w:eastAsia="仿宋" w:cs="仿宋"/>
          <w:color w:val="auto"/>
          <w:sz w:val="30"/>
          <w:szCs w:val="30"/>
          <w:highlight w:val="none"/>
        </w:rPr>
        <w:t>六、开标时间、地点:</w:t>
      </w:r>
      <w:r>
        <w:rPr>
          <w:rFonts w:hint="eastAsia" w:ascii="仿宋" w:hAnsi="仿宋" w:eastAsia="仿宋" w:cs="仿宋"/>
          <w:b/>
          <w:color w:val="auto"/>
          <w:sz w:val="30"/>
          <w:szCs w:val="30"/>
          <w:highlight w:val="none"/>
          <w:u w:val="single"/>
        </w:rPr>
        <w:t>2022</w:t>
      </w:r>
      <w:r>
        <w:rPr>
          <w:rFonts w:hint="eastAsia" w:ascii="仿宋" w:hAnsi="仿宋" w:eastAsia="仿宋" w:cs="仿宋"/>
          <w:b/>
          <w:color w:val="auto"/>
          <w:sz w:val="30"/>
          <w:szCs w:val="30"/>
          <w:highlight w:val="none"/>
        </w:rPr>
        <w:t>年</w:t>
      </w:r>
      <w:r>
        <w:rPr>
          <w:rFonts w:hint="eastAsia" w:ascii="仿宋" w:hAnsi="仿宋" w:eastAsia="仿宋" w:cs="仿宋"/>
          <w:b/>
          <w:color w:val="auto"/>
          <w:sz w:val="30"/>
          <w:szCs w:val="30"/>
          <w:highlight w:val="none"/>
          <w:lang w:val="en-US" w:eastAsia="zh-CN"/>
        </w:rPr>
        <w:t>12</w:t>
      </w:r>
      <w:r>
        <w:rPr>
          <w:rFonts w:hint="eastAsia" w:ascii="仿宋" w:hAnsi="仿宋" w:eastAsia="仿宋" w:cs="仿宋"/>
          <w:b/>
          <w:color w:val="auto"/>
          <w:sz w:val="30"/>
          <w:szCs w:val="30"/>
          <w:highlight w:val="none"/>
        </w:rPr>
        <w:t>月</w:t>
      </w:r>
      <w:r>
        <w:rPr>
          <w:rFonts w:hint="eastAsia" w:ascii="仿宋" w:hAnsi="仿宋" w:eastAsia="仿宋" w:cs="仿宋"/>
          <w:b/>
          <w:color w:val="auto"/>
          <w:sz w:val="30"/>
          <w:szCs w:val="30"/>
          <w:highlight w:val="none"/>
          <w:lang w:val="en-US" w:eastAsia="zh-CN"/>
        </w:rPr>
        <w:t>16</w:t>
      </w:r>
      <w:r>
        <w:rPr>
          <w:rFonts w:hint="eastAsia" w:ascii="仿宋" w:hAnsi="仿宋" w:eastAsia="仿宋" w:cs="仿宋"/>
          <w:b/>
          <w:color w:val="auto"/>
          <w:sz w:val="30"/>
          <w:szCs w:val="30"/>
          <w:highlight w:val="none"/>
        </w:rPr>
        <w:t>日09时30分(北京时间)</w:t>
      </w:r>
      <w:r>
        <w:rPr>
          <w:rFonts w:hint="eastAsia" w:ascii="仿宋" w:hAnsi="仿宋" w:eastAsia="仿宋" w:cs="仿宋"/>
          <w:color w:val="auto"/>
          <w:sz w:val="30"/>
          <w:szCs w:val="30"/>
          <w:highlight w:val="none"/>
        </w:rPr>
        <w:t>在福建省福州市台江区江滨中大道403号会议室</w:t>
      </w:r>
      <w:r>
        <w:rPr>
          <w:rFonts w:hint="eastAsia" w:ascii="仿宋" w:hAnsi="仿宋" w:eastAsia="仿宋" w:cs="仿宋"/>
          <w:color w:val="auto"/>
          <w:kern w:val="0"/>
          <w:sz w:val="30"/>
          <w:szCs w:val="30"/>
          <w:highlight w:val="none"/>
        </w:rPr>
        <w:t>开标。</w:t>
      </w:r>
      <w:r>
        <w:rPr>
          <w:rFonts w:hint="eastAsia" w:ascii="仿宋" w:hAnsi="仿宋" w:eastAsia="仿宋" w:cs="仿宋"/>
          <w:bCs/>
          <w:color w:val="auto"/>
          <w:sz w:val="30"/>
          <w:szCs w:val="30"/>
          <w:highlight w:val="none"/>
        </w:rPr>
        <w:t>（若快递，请事先与我司联系；现场递交需携带48小时内有效的核酸检测报告。）</w:t>
      </w:r>
    </w:p>
    <w:p>
      <w:pPr>
        <w:spacing w:line="336"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七、评标办法：</w:t>
      </w:r>
      <w:r>
        <w:rPr>
          <w:rFonts w:hint="eastAsia" w:ascii="仿宋" w:hAnsi="仿宋" w:eastAsia="仿宋" w:cs="仿宋"/>
          <w:color w:val="auto"/>
          <w:sz w:val="30"/>
          <w:szCs w:val="30"/>
          <w:highlight w:val="none"/>
          <w:u w:val="single"/>
        </w:rPr>
        <w:t>本项目采用最低价中标法。</w:t>
      </w:r>
    </w:p>
    <w:p>
      <w:pPr>
        <w:widowControl/>
        <w:spacing w:line="264" w:lineRule="auto"/>
        <w:ind w:firstLine="600" w:firstLineChars="200"/>
        <w:rPr>
          <w:rFonts w:hint="eastAsia"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八、投标保证金：本项目需缴纳</w:t>
      </w:r>
      <w:r>
        <w:rPr>
          <w:rFonts w:hint="eastAsia" w:ascii="仿宋" w:hAnsi="仿宋" w:eastAsia="仿宋" w:cs="仿宋"/>
          <w:color w:val="auto"/>
          <w:kern w:val="0"/>
          <w:sz w:val="30"/>
          <w:szCs w:val="30"/>
          <w:highlight w:val="none"/>
          <w:u w:val="single"/>
        </w:rPr>
        <w:t>10000</w:t>
      </w:r>
      <w:r>
        <w:rPr>
          <w:rFonts w:hint="eastAsia" w:ascii="仿宋" w:hAnsi="仿宋" w:eastAsia="仿宋" w:cs="仿宋"/>
          <w:color w:val="auto"/>
          <w:kern w:val="0"/>
          <w:sz w:val="30"/>
          <w:szCs w:val="30"/>
          <w:highlight w:val="none"/>
        </w:rPr>
        <w:t>元投标保证金（只接受投标人公对公转账，备注投标保证金+项目编号），中标候选人中标后将投标保证金转履约保证金，未中标者的项目投标保证金原路退回。</w:t>
      </w:r>
    </w:p>
    <w:p>
      <w:pPr>
        <w:widowControl/>
        <w:spacing w:line="264" w:lineRule="auto"/>
        <w:ind w:firstLine="600" w:firstLineChars="200"/>
        <w:rPr>
          <w:rFonts w:hint="eastAsia"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九、发布网站：福建省轻纺（控股）有限责任公司（http://www.fjqfkg.com/）、海峡军民融合供应商平台（http://www.hxjmrh.cn:8090/）。</w:t>
      </w:r>
    </w:p>
    <w:p>
      <w:pPr>
        <w:spacing w:line="312"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十、联系方式</w:t>
      </w:r>
    </w:p>
    <w:p>
      <w:pPr>
        <w:spacing w:line="312"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招 标 人：福建海峡军民融合产业发展有限公司；</w:t>
      </w:r>
    </w:p>
    <w:p>
      <w:pPr>
        <w:spacing w:line="312"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地    址：福建省福州市仓山区金林路35号互联网小镇2号楼3层；</w:t>
      </w:r>
    </w:p>
    <w:p>
      <w:pPr>
        <w:spacing w:line="312"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联 系 人：林先生、任先生；</w:t>
      </w:r>
    </w:p>
    <w:p>
      <w:pPr>
        <w:spacing w:line="312"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电    话：0591-86258980、18059139660。</w:t>
      </w:r>
    </w:p>
    <w:p>
      <w:pPr>
        <w:pStyle w:val="2"/>
        <w:spacing w:line="480" w:lineRule="exact"/>
        <w:ind w:firstLine="602" w:firstLineChars="200"/>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购买标书及投标保证金汇入账户</w:t>
      </w:r>
    </w:p>
    <w:p>
      <w:pPr>
        <w:pStyle w:val="2"/>
        <w:spacing w:line="48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开户名称：福建海峡军民融合产业发展有限公司</w:t>
      </w:r>
    </w:p>
    <w:p>
      <w:pPr>
        <w:pStyle w:val="2"/>
        <w:spacing w:line="48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开户银行：交通银行福建省分行</w:t>
      </w:r>
    </w:p>
    <w:p>
      <w:pPr>
        <w:pStyle w:val="2"/>
        <w:spacing w:line="48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银行账号：351008010013000099743</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27CA1C8"/>
    <w:multiLevelType w:val="singleLevel"/>
    <w:tmpl w:val="A27CA1C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0234225"/>
    <w:rsid w:val="61571D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Body Text"/>
    <w:basedOn w:val="1"/>
    <w:next w:val="1"/>
    <w:qFormat/>
    <w:uiPriority w:val="0"/>
    <w:pPr>
      <w:spacing w:line="380" w:lineRule="exact"/>
    </w:pPr>
    <w:rPr>
      <w:sz w:val="24"/>
    </w:rPr>
  </w:style>
  <w:style w:type="paragraph" w:styleId="3">
    <w:name w:val="Normal Indent"/>
    <w:basedOn w:val="1"/>
    <w:next w:val="1"/>
    <w:qFormat/>
    <w:uiPriority w:val="0"/>
    <w:pPr>
      <w:ind w:firstLine="420"/>
    </w:pPr>
    <w:rPr>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2022-12-09T02:07:00Z</dcterms:created>
  <dc:creator>lenovo</dc:creator>
  <cp:lastModifiedBy>林海</cp:lastModifiedBy>
  <dcterms:modified xsi:type="dcterms:W3CDTF">2022-12-09T02:09:39Z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