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96"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：板纸事业部高浓盘磨磨片</w:t>
      </w:r>
      <w:r>
        <w:rPr>
          <w:rFonts w:hint="eastAsia" w:ascii="Times New Roman" w:hAnsi="Times New Roman" w:eastAsia="宋体"/>
          <w:color w:val="auto"/>
          <w:sz w:val="24"/>
          <w:szCs w:val="24"/>
          <w:lang w:eastAsia="zh-CN"/>
        </w:rPr>
        <w:t>采购</w:t>
      </w:r>
    </w:p>
    <w:p>
      <w:pPr>
        <w:keepNext w:val="0"/>
        <w:keepLines w:val="0"/>
        <w:pageBreakBefore w:val="0"/>
        <w:widowControl w:val="0"/>
        <w:kinsoku/>
        <w:wordWrap/>
        <w:overflowPunct/>
        <w:topLinePunct w:val="0"/>
        <w:autoSpaceDE/>
        <w:autoSpaceDN/>
        <w:bidi w:val="0"/>
        <w:adjustRightInd/>
        <w:snapToGrid/>
        <w:spacing w:line="396"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2.1招标内容：</w:t>
      </w:r>
    </w:p>
    <w:tbl>
      <w:tblPr>
        <w:tblStyle w:val="12"/>
        <w:tblW w:w="8919" w:type="dxa"/>
        <w:jc w:val="center"/>
        <w:tblInd w:w="1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2"/>
        <w:gridCol w:w="2684"/>
        <w:gridCol w:w="765"/>
        <w:gridCol w:w="4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 w:hRule="atLeast"/>
          <w:jc w:val="center"/>
        </w:trPr>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序号</w:t>
            </w:r>
          </w:p>
        </w:tc>
        <w:tc>
          <w:tcPr>
            <w:tcW w:w="26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标的名称</w:t>
            </w:r>
          </w:p>
        </w:tc>
        <w:tc>
          <w:tcPr>
            <w:tcW w:w="76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数量</w:t>
            </w:r>
          </w:p>
        </w:tc>
        <w:tc>
          <w:tcPr>
            <w:tcW w:w="44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型号规格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1</w:t>
            </w:r>
          </w:p>
        </w:tc>
        <w:tc>
          <w:tcPr>
            <w:tcW w:w="26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高浓盘磨磨片（含配套固定螺栓）</w:t>
            </w:r>
          </w:p>
        </w:tc>
        <w:tc>
          <w:tcPr>
            <w:tcW w:w="76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3套</w:t>
            </w:r>
          </w:p>
        </w:tc>
        <w:tc>
          <w:tcPr>
            <w:tcW w:w="44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盘磨机相关参数：机器名称：REFINER；型号：54/60-1CP；序列号：132602761；生产年份：2016年；工程编号：P-14-822001-928-2103-010</w:t>
            </w:r>
          </w:p>
        </w:tc>
      </w:tr>
    </w:tbl>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2.2技术质量要求：</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（1）原高浓磨片品牌：ANDRITZ。</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现场工况：介质:浆料、温度:80℃左右、酸碱性：弱碱。投标方提供的磨片必须保证能与青山纸业现有型号：54/60-1CP盘磨机磨片相互换使用。磨片保证尺寸上百分百无误差安装，满足现场安装及使用要求，不得改变原有的磨片形式。投标方需注明磨片选用材质。</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本招标文件中提及的品牌为参考品牌。投标人可以直接选用参考品牌，也可以自行另选品牌，但所选的品牌品质（品牌知名度、技术标准和质量等级）应当相当于或不低于参考品牌，否则，其投标将被拒绝。</w:t>
      </w:r>
    </w:p>
    <w:p>
      <w:pPr>
        <w:keepNext w:val="0"/>
        <w:keepLines w:val="0"/>
        <w:pageBreakBefore w:val="0"/>
        <w:widowControl w:val="0"/>
        <w:kinsoku/>
        <w:wordWrap/>
        <w:overflowPunct/>
        <w:topLinePunct w:val="0"/>
        <w:autoSpaceDE/>
        <w:autoSpaceDN/>
        <w:bidi w:val="0"/>
        <w:adjustRightInd/>
        <w:snapToGrid/>
        <w:spacing w:line="396"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3.1交货时间：投标时承诺最短交货期。</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3.2交货地点：福建省三明市沙县区青州镇青山纸业公司指定区域内。</w:t>
      </w:r>
    </w:p>
    <w:p>
      <w:pPr>
        <w:keepNext w:val="0"/>
        <w:keepLines w:val="0"/>
        <w:pageBreakBefore w:val="0"/>
        <w:widowControl w:val="0"/>
        <w:kinsoku/>
        <w:wordWrap/>
        <w:overflowPunct/>
        <w:topLinePunct w:val="0"/>
        <w:autoSpaceDE/>
        <w:autoSpaceDN/>
        <w:bidi w:val="0"/>
        <w:adjustRightInd/>
        <w:snapToGrid/>
        <w:spacing w:line="396"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w:t>
      </w:r>
      <w:r>
        <w:rPr>
          <w:rFonts w:hint="eastAsia" w:ascii="Times New Roman" w:hAnsi="Times New Roman" w:eastAsia="宋体"/>
          <w:b w:val="0"/>
          <w:bCs w:val="0"/>
          <w:color w:val="auto"/>
          <w:sz w:val="24"/>
          <w:szCs w:val="24"/>
          <w:lang w:eastAsia="zh-CN"/>
        </w:rPr>
        <w:t>.1具有独立承担民事责任的能力（提供三证合一的营业执照）；</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4.2</w:t>
      </w:r>
      <w:r>
        <w:rPr>
          <w:rFonts w:hint="eastAsia" w:ascii="Times New Roman" w:hAnsi="Times New Roman" w:eastAsia="宋体"/>
          <w:b w:val="0"/>
          <w:bCs w:val="0"/>
          <w:color w:val="auto"/>
          <w:sz w:val="24"/>
          <w:szCs w:val="24"/>
          <w:lang w:eastAsia="zh-CN"/>
        </w:rPr>
        <w:t>具有良好的商业信誉和健全的财务会计制度（提供近一年财务状况报告或资格承诺函）；</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4.3</w:t>
      </w:r>
      <w:r>
        <w:rPr>
          <w:rFonts w:hint="eastAsia" w:ascii="Times New Roman" w:hAnsi="Times New Roman" w:eastAsia="宋体"/>
          <w:b w:val="0"/>
          <w:bCs w:val="0"/>
          <w:color w:val="auto"/>
          <w:sz w:val="24"/>
          <w:szCs w:val="24"/>
          <w:lang w:eastAsia="zh-CN"/>
        </w:rPr>
        <w:t>具有履行合同所必须的设备和专业技术能力（提供声明函）；</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4.4</w:t>
      </w:r>
      <w:r>
        <w:rPr>
          <w:rFonts w:hint="eastAsia" w:ascii="Times New Roman" w:hAnsi="Times New Roman" w:eastAsia="宋体"/>
          <w:b w:val="0"/>
          <w:bCs w:val="0"/>
          <w:color w:val="auto"/>
          <w:sz w:val="24"/>
          <w:szCs w:val="24"/>
          <w:lang w:eastAsia="zh-CN"/>
        </w:rPr>
        <w:t>具有依法缴纳税收和社会保障资金的良好记录（提供近一年依法缴纳税收和社会保障资金的证明材料或资格承诺函）；</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4.5</w:t>
      </w:r>
      <w:r>
        <w:rPr>
          <w:rFonts w:hint="eastAsia" w:ascii="Times New Roman" w:hAnsi="Times New Roman" w:eastAsia="宋体"/>
          <w:b w:val="0"/>
          <w:bCs w:val="0"/>
          <w:color w:val="auto"/>
          <w:sz w:val="24"/>
          <w:szCs w:val="24"/>
          <w:lang w:eastAsia="zh-CN"/>
        </w:rPr>
        <w:t>近三年内，在经营活动中没有重大违法记录（提供声明函）；</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4.6</w:t>
      </w:r>
      <w:r>
        <w:rPr>
          <w:rFonts w:hint="eastAsia" w:ascii="Times New Roman" w:hAnsi="Times New Roman" w:eastAsia="宋体"/>
          <w:b w:val="0"/>
          <w:bCs w:val="0"/>
          <w:color w:val="auto"/>
          <w:sz w:val="24"/>
          <w:szCs w:val="24"/>
          <w:lang w:eastAsia="zh-CN"/>
        </w:rPr>
        <w:t>非生产单位投标必须出具生产单位的代理授权证书；</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4.7</w:t>
      </w:r>
      <w:r>
        <w:rPr>
          <w:rFonts w:hint="eastAsia" w:ascii="Times New Roman" w:hAnsi="Times New Roman" w:eastAsia="宋体"/>
          <w:b w:val="0"/>
          <w:bCs w:val="0"/>
          <w:color w:val="auto"/>
          <w:sz w:val="24"/>
          <w:szCs w:val="24"/>
          <w:lang w:eastAsia="zh-CN"/>
        </w:rPr>
        <w:t>所有有意向参与的单位应与板纸2#机技术员进行详细技术交流，否则视同放弃投标资格。（以设备部开具的技术交流证明为准，投标文件中需附上此证明；为响应疫情防控要求，技术交流可通过电话、微信联系进行）。</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注：对于4.3及4.5项，声明函格式见附件2。对于4.2及4.4项，投标人可自行选择是否提供承诺函（格式见附件1）。提供相关承诺函的投标人，无需再提供财务状况、缴纳税收和社保资金等证明材料。招标人有权在签订合同前要求中标人提供相关证明材料以核实中标人承诺事项的真实性。投标人应当遵循诚实守信的原则，不得作出虚假承诺，承诺不实的，属于提供虚假材料谋取中标、成交，依法追究相关的法律责任。】</w:t>
      </w:r>
    </w:p>
    <w:p>
      <w:pPr>
        <w:keepNext w:val="0"/>
        <w:keepLines w:val="0"/>
        <w:pageBreakBefore w:val="0"/>
        <w:widowControl w:val="0"/>
        <w:kinsoku/>
        <w:wordWrap/>
        <w:overflowPunct/>
        <w:topLinePunct w:val="0"/>
        <w:autoSpaceDE/>
        <w:autoSpaceDN/>
        <w:bidi w:val="0"/>
        <w:adjustRightInd/>
        <w:snapToGrid/>
        <w:spacing w:line="396" w:lineRule="exact"/>
        <w:ind w:firstLine="482" w:firstLineChars="200"/>
        <w:textAlignment w:val="auto"/>
        <w:outlineLvl w:val="9"/>
        <w:rPr>
          <w:rFonts w:hint="default"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5.</w:t>
      </w:r>
      <w:r>
        <w:rPr>
          <w:rFonts w:hint="default" w:ascii="Times New Roman" w:hAnsi="Times New Roman" w:eastAsia="宋体"/>
          <w:b/>
          <w:bCs/>
          <w:color w:val="auto"/>
          <w:sz w:val="24"/>
          <w:szCs w:val="24"/>
          <w:lang w:val="en-US" w:eastAsia="zh-CN"/>
        </w:rPr>
        <w:t>双方职责</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5.1投标方提供的备件应为制造厂原装、最新、全新的产品；</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5.2中标方应保证对质量保证期内因提供的制造或材料缺陷所有因中标方责任引起的设备任何缺陷、故障、和损坏负责；</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5.3中标方负责备件的运输，凡备件到招标方之前的意外损失由中标方负责承担；</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5.4投标方技术交流、到招标方现场人员应按有关规定，采取严格的安全防护措施，承担由于自身安全措施不力造成安全事故的责任和因此发生的费用。</w:t>
      </w:r>
    </w:p>
    <w:p>
      <w:pPr>
        <w:keepNext w:val="0"/>
        <w:keepLines w:val="0"/>
        <w:pageBreakBefore w:val="0"/>
        <w:widowControl w:val="0"/>
        <w:kinsoku/>
        <w:wordWrap/>
        <w:overflowPunct/>
        <w:topLinePunct w:val="0"/>
        <w:autoSpaceDE/>
        <w:autoSpaceDN/>
        <w:bidi w:val="0"/>
        <w:adjustRightInd/>
        <w:snapToGrid/>
        <w:spacing w:line="396" w:lineRule="exact"/>
        <w:ind w:firstLine="482"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6.</w:t>
      </w:r>
      <w:r>
        <w:rPr>
          <w:rFonts w:hint="default" w:ascii="Times New Roman" w:hAnsi="Times New Roman" w:eastAsia="宋体"/>
          <w:b/>
          <w:bCs/>
          <w:color w:val="auto"/>
          <w:sz w:val="24"/>
          <w:szCs w:val="24"/>
          <w:lang w:val="en-US" w:eastAsia="zh-CN"/>
        </w:rPr>
        <w:t>违约责任</w:t>
      </w:r>
      <w:r>
        <w:rPr>
          <w:rFonts w:hint="default" w:ascii="Times New Roman" w:hAnsi="Times New Roman" w:eastAsia="宋体"/>
          <w:b w:val="0"/>
          <w:bCs w:val="0"/>
          <w:color w:val="auto"/>
          <w:sz w:val="24"/>
          <w:szCs w:val="24"/>
          <w:lang w:val="en-US" w:eastAsia="zh-CN"/>
        </w:rPr>
        <w:t>：中标并签订合同后，不能按时履约必须支付违约金为合同总额的1</w:t>
      </w:r>
      <w:r>
        <w:rPr>
          <w:rFonts w:hint="eastAsia" w:ascii="Times New Roman" w:hAnsi="Times New Roman" w:eastAsia="宋体"/>
          <w:b w:val="0"/>
          <w:bCs w:val="0"/>
          <w:color w:val="auto"/>
          <w:sz w:val="24"/>
          <w:szCs w:val="24"/>
          <w:lang w:val="en-US" w:eastAsia="zh-CN"/>
        </w:rPr>
        <w:t>0</w:t>
      </w:r>
      <w:r>
        <w:rPr>
          <w:rFonts w:hint="default" w:ascii="Times New Roman" w:hAnsi="Times New Roman" w:eastAsia="宋体"/>
          <w:b w:val="0"/>
          <w:bCs w:val="0"/>
          <w:color w:val="auto"/>
          <w:sz w:val="24"/>
          <w:szCs w:val="24"/>
          <w:lang w:val="en-US" w:eastAsia="zh-CN"/>
        </w:rPr>
        <w:t>%，其余按</w:t>
      </w:r>
      <w:r>
        <w:rPr>
          <w:rFonts w:hint="eastAsia" w:ascii="Times New Roman" w:hAnsi="Times New Roman" w:eastAsia="宋体"/>
          <w:b w:val="0"/>
          <w:bCs w:val="0"/>
          <w:color w:val="auto"/>
          <w:sz w:val="24"/>
          <w:szCs w:val="24"/>
          <w:lang w:val="en-US" w:eastAsia="zh-CN"/>
        </w:rPr>
        <w:t>《</w:t>
      </w:r>
      <w:r>
        <w:rPr>
          <w:rFonts w:hint="default" w:ascii="Times New Roman" w:hAnsi="Times New Roman" w:eastAsia="宋体"/>
          <w:b w:val="0"/>
          <w:bCs w:val="0"/>
          <w:color w:val="auto"/>
          <w:sz w:val="24"/>
          <w:szCs w:val="24"/>
          <w:lang w:val="en-US" w:eastAsia="zh-CN"/>
        </w:rPr>
        <w:t>中华人民共和国民法典</w:t>
      </w:r>
      <w:r>
        <w:rPr>
          <w:rFonts w:hint="eastAsia" w:ascii="Times New Roman" w:hAnsi="Times New Roman" w:eastAsia="宋体"/>
          <w:b w:val="0"/>
          <w:bCs w:val="0"/>
          <w:color w:val="auto"/>
          <w:sz w:val="24"/>
          <w:szCs w:val="24"/>
          <w:lang w:val="en-US" w:eastAsia="zh-CN"/>
        </w:rPr>
        <w:t>》</w:t>
      </w:r>
      <w:r>
        <w:rPr>
          <w:rFonts w:hint="default" w:ascii="Times New Roman" w:hAnsi="Times New Roman" w:eastAsia="宋体"/>
          <w:b w:val="0"/>
          <w:bCs w:val="0"/>
          <w:color w:val="auto"/>
          <w:sz w:val="24"/>
          <w:szCs w:val="24"/>
          <w:lang w:val="en-US" w:eastAsia="zh-CN"/>
        </w:rPr>
        <w:t>执行。</w:t>
      </w:r>
    </w:p>
    <w:p>
      <w:pPr>
        <w:keepNext w:val="0"/>
        <w:keepLines w:val="0"/>
        <w:pageBreakBefore w:val="0"/>
        <w:widowControl w:val="0"/>
        <w:kinsoku/>
        <w:wordWrap/>
        <w:overflowPunct/>
        <w:topLinePunct w:val="0"/>
        <w:autoSpaceDE/>
        <w:autoSpaceDN/>
        <w:bidi w:val="0"/>
        <w:adjustRightInd/>
        <w:snapToGrid/>
        <w:spacing w:line="396" w:lineRule="exact"/>
        <w:ind w:firstLine="482"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color w:val="auto"/>
          <w:sz w:val="24"/>
          <w:szCs w:val="24"/>
          <w:lang w:val="en-US" w:eastAsia="zh-CN"/>
        </w:rPr>
        <w:t>7.验收标准</w:t>
      </w:r>
      <w:r>
        <w:rPr>
          <w:rFonts w:hint="eastAsia" w:ascii="Times New Roman" w:hAnsi="Times New Roman" w:eastAsia="宋体"/>
          <w:b w:val="0"/>
          <w:bCs/>
          <w:color w:val="auto"/>
          <w:sz w:val="24"/>
          <w:szCs w:val="24"/>
          <w:lang w:val="en-US" w:eastAsia="zh-CN"/>
        </w:rPr>
        <w:t>：备件按照生产厂家的产品验收标准（投标人投标时提供）和中国国家标准进行验收。</w:t>
      </w:r>
    </w:p>
    <w:p>
      <w:pPr>
        <w:keepNext w:val="0"/>
        <w:keepLines w:val="0"/>
        <w:pageBreakBefore w:val="0"/>
        <w:widowControl w:val="0"/>
        <w:kinsoku/>
        <w:wordWrap/>
        <w:overflowPunct/>
        <w:topLinePunct w:val="0"/>
        <w:autoSpaceDE/>
        <w:autoSpaceDN/>
        <w:bidi w:val="0"/>
        <w:adjustRightInd/>
        <w:snapToGrid/>
        <w:spacing w:line="396" w:lineRule="exact"/>
        <w:ind w:firstLine="482" w:firstLineChars="200"/>
        <w:textAlignment w:val="auto"/>
        <w:outlineLvl w:val="9"/>
        <w:rPr>
          <w:rFonts w:ascii="Times New Roman" w:hAnsi="Times New Roman" w:eastAsia="宋体"/>
          <w:bCs/>
          <w:color w:val="auto"/>
          <w:sz w:val="24"/>
          <w:szCs w:val="24"/>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：自上机使用合格开始三个月以上，保修期为一年，保修金不计利息，投标人可承诺更长的质保期。</w:t>
      </w:r>
    </w:p>
    <w:p>
      <w:pPr>
        <w:keepNext w:val="0"/>
        <w:keepLines w:val="0"/>
        <w:pageBreakBefore w:val="0"/>
        <w:widowControl w:val="0"/>
        <w:kinsoku/>
        <w:wordWrap/>
        <w:overflowPunct/>
        <w:topLinePunct w:val="0"/>
        <w:autoSpaceDE/>
        <w:autoSpaceDN/>
        <w:bidi w:val="0"/>
        <w:adjustRightInd/>
        <w:snapToGrid/>
        <w:spacing w:line="396"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：不支付预付款，货到验收合格后，招标人财务部收到全额增值税专用发票45天支付总合同价的90%</w:t>
      </w:r>
      <w:r>
        <w:rPr>
          <w:rFonts w:hint="eastAsia" w:ascii="Times New Roman" w:hAnsi="Times New Roman"/>
          <w:b w:val="0"/>
          <w:bCs/>
          <w:color w:val="auto"/>
          <w:sz w:val="24"/>
          <w:szCs w:val="24"/>
          <w:lang w:val="en-US" w:eastAsia="zh-CN"/>
        </w:rPr>
        <w:t>(</w:t>
      </w:r>
      <w:r>
        <w:rPr>
          <w:rFonts w:hint="eastAsia" w:ascii="Times New Roman" w:hAnsi="Times New Roman" w:eastAsia="宋体"/>
          <w:b w:val="0"/>
          <w:bCs/>
          <w:color w:val="auto"/>
          <w:sz w:val="24"/>
          <w:szCs w:val="24"/>
          <w:lang w:eastAsia="zh-CN"/>
        </w:rPr>
        <w:t>银行电子承兑汇票</w:t>
      </w:r>
      <w:r>
        <w:rPr>
          <w:rFonts w:hint="eastAsia" w:ascii="Times New Roman" w:hAnsi="Times New Roman"/>
          <w:b w:val="0"/>
          <w:bCs/>
          <w:color w:val="auto"/>
          <w:sz w:val="24"/>
          <w:szCs w:val="24"/>
          <w:lang w:val="en-US" w:eastAsia="zh-CN"/>
        </w:rPr>
        <w:t>)</w:t>
      </w:r>
      <w:r>
        <w:rPr>
          <w:rFonts w:hint="eastAsia" w:ascii="Times New Roman" w:hAnsi="Times New Roman" w:eastAsia="宋体"/>
          <w:b w:val="0"/>
          <w:bCs/>
          <w:color w:val="auto"/>
          <w:sz w:val="24"/>
          <w:szCs w:val="24"/>
          <w:lang w:eastAsia="zh-CN"/>
        </w:rPr>
        <w:t>；质保金为总合同价的10%，在质保期满后无质量问题三十天内付清，质保金不计利息。中标人需开具13%增值税专用发票。</w:t>
      </w:r>
    </w:p>
    <w:p>
      <w:pPr>
        <w:keepNext w:val="0"/>
        <w:keepLines w:val="0"/>
        <w:pageBreakBefore w:val="0"/>
        <w:widowControl w:val="0"/>
        <w:kinsoku/>
        <w:wordWrap/>
        <w:overflowPunct/>
        <w:topLinePunct w:val="0"/>
        <w:autoSpaceDE/>
        <w:autoSpaceDN/>
        <w:bidi w:val="0"/>
        <w:adjustRightInd/>
        <w:snapToGrid/>
        <w:spacing w:line="396"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ascii="Times New Roman" w:hAnsi="Times New Roman" w:eastAsia="宋体"/>
          <w:color w:val="auto"/>
          <w:sz w:val="24"/>
          <w:szCs w:val="24"/>
        </w:rPr>
        <w:t>本次招标</w:t>
      </w:r>
      <w:r>
        <w:rPr>
          <w:rFonts w:hint="eastAsia" w:ascii="Times New Roman" w:hAnsi="Times New Roman" w:eastAsia="宋体"/>
          <w:color w:val="auto"/>
          <w:sz w:val="24"/>
          <w:szCs w:val="24"/>
          <w:lang w:eastAsia="zh-CN"/>
        </w:rPr>
        <w:t>原则上</w:t>
      </w:r>
      <w:r>
        <w:rPr>
          <w:rFonts w:ascii="Times New Roman" w:hAnsi="Times New Roman" w:eastAsia="宋体"/>
          <w:color w:val="auto"/>
          <w:sz w:val="24"/>
          <w:szCs w:val="24"/>
        </w:rPr>
        <w:t>采取一次性报价方式。</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2报价为含13%增值税到厂人民币价格</w:t>
      </w:r>
      <w:r>
        <w:rPr>
          <w:rFonts w:hint="eastAsia" w:ascii="Times New Roman" w:hAnsi="Times New Roman" w:eastAsia="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396"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1"/>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÷AD×40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30</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w:t>
            </w:r>
            <w:r>
              <w:rPr>
                <w:rFonts w:hint="default" w:ascii="Times New Roman" w:hAnsi="Times New Roman" w:eastAsia="宋体" w:cs="Times New Roman"/>
                <w:color w:val="auto"/>
                <w:kern w:val="0"/>
                <w:szCs w:val="21"/>
                <w:lang w:val="en-US" w:eastAsia="zh-CN"/>
              </w:rPr>
              <w:t>技术性能、制造水平及产品特点：2</w:t>
            </w:r>
            <w:r>
              <w:rPr>
                <w:rFonts w:hint="eastAsia" w:ascii="Times New Roman" w:hAnsi="Times New Roman" w:eastAsia="宋体" w:cs="Times New Roman"/>
                <w:color w:val="auto"/>
                <w:kern w:val="0"/>
                <w:szCs w:val="21"/>
                <w:lang w:val="en-US" w:eastAsia="zh-CN"/>
              </w:rPr>
              <w:t>0</w:t>
            </w:r>
            <w:r>
              <w:rPr>
                <w:rFonts w:hint="default" w:ascii="Times New Roman" w:hAnsi="Times New Roman" w:eastAsia="宋体" w:cs="Times New Roman"/>
                <w:color w:val="auto"/>
                <w:kern w:val="0"/>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w:t>
            </w:r>
            <w:r>
              <w:rPr>
                <w:rFonts w:hint="default" w:ascii="Times New Roman" w:hAnsi="Times New Roman" w:eastAsia="宋体" w:cs="Times New Roman"/>
                <w:color w:val="auto"/>
                <w:kern w:val="0"/>
                <w:szCs w:val="21"/>
                <w:lang w:val="en-US" w:eastAsia="zh-CN"/>
              </w:rPr>
              <w:t>备件和材料满足招标文件要求的程度：10分；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w:t>
            </w:r>
            <w:r>
              <w:rPr>
                <w:rFonts w:hint="default" w:ascii="Times New Roman" w:hAnsi="Times New Roman" w:eastAsia="宋体" w:cs="Times New Roman"/>
                <w:color w:val="auto"/>
                <w:kern w:val="0"/>
                <w:szCs w:val="21"/>
                <w:lang w:val="en-US" w:eastAsia="zh-CN"/>
              </w:rPr>
              <w:t>不满足备件规格及技术要求的，按废标处理。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①相关行业类似业绩3分：1分/份合同（以投标人合同复印件为准），封顶3分；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②质保期2分：质保期最长的为满分2分，其它的按比例得分。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根据各投标人对付款方式的响应情况进行打分。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①承兑汇票1分：接受的得1分，不接受的得0分；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②质保金1分：接受的得1分，不接受的得0分；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③预付方式3分：无预付款的得3分，其他的得0分。</w:t>
            </w:r>
          </w:p>
        </w:tc>
      </w:tr>
    </w:tbl>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12</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16</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10</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2.1现场：参与现场投标的，投标人应于开标之前将投标文件送至青山纸业文化楼4楼招标办会议室。到会议现场参加开标的投标人代表，须遵守沙县政府和本公司关于新冠肺炎疫情防控的相关规定，并出示绿色健康码、行程卡、48h内核酸检测阴性证明。</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12.2.3网络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FF0000"/>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u w:val="none"/>
          <w:lang w:val="en-US" w:eastAsia="zh-CN"/>
        </w:rPr>
        <w:t>7000元</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.2.1银行电汇</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.2.2投标保证金函</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若本公司与投标人尚有</w:t>
      </w:r>
      <w:r>
        <w:rPr>
          <w:rFonts w:hint="eastAsia" w:ascii="Times New Roman" w:hAnsi="Times New Roman" w:eastAsia="宋体"/>
          <w:b w:val="0"/>
          <w:bCs w:val="0"/>
          <w:color w:val="auto"/>
          <w:sz w:val="24"/>
          <w:szCs w:val="24"/>
          <w:lang w:eastAsia="zh-CN"/>
        </w:rPr>
        <w:t>到期应付</w:t>
      </w:r>
      <w:r>
        <w:rPr>
          <w:rFonts w:ascii="Times New Roman" w:hAnsi="Times New Roman" w:eastAsia="宋体"/>
          <w:color w:val="auto"/>
          <w:sz w:val="24"/>
          <w:szCs w:val="24"/>
        </w:rPr>
        <w:t>未结清货款（各类未到期的保证金除外）且数额足够抵扣投标保证金时，投标人可出具正式公函明确要求本公司从其未结货款中转扣,但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13.2.3银行保函：以银行保函的形式提交投标保证金。银行保函单独密封装订。</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原因未能履行合同，按法律规定及合同约定，</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已缴纳的</w:t>
      </w:r>
      <w:r>
        <w:rPr>
          <w:rFonts w:hint="eastAsia" w:ascii="Times New Roman" w:hAnsi="Times New Roman" w:eastAsia="宋体"/>
          <w:b/>
          <w:bCs/>
          <w:color w:val="auto"/>
          <w:sz w:val="24"/>
          <w:szCs w:val="24"/>
        </w:rPr>
        <w:t>履约保证金将不予退还</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14.1.1投标保证金凭证：银行电汇回单或投标保证金函。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color w:val="auto"/>
          <w:sz w:val="24"/>
          <w:szCs w:val="24"/>
          <w:lang w:val="en-US" w:eastAsia="zh-CN"/>
        </w:rPr>
        <w:t>3</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技术方案（如第1</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条技术评审打分项的响应材料）</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6</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17.</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技术联系人：黄欣13850802208（板纸事业部）</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商务联系人：柳工0598-5658513</w:t>
      </w:r>
      <w:r>
        <w:rPr>
          <w:rFonts w:hint="eastAsia" w:ascii="Times New Roman" w:hAnsi="Times New Roman" w:eastAsia="宋体"/>
          <w:color w:val="auto"/>
          <w:sz w:val="24"/>
          <w:szCs w:val="24"/>
          <w:lang w:eastAsia="zh-CN"/>
        </w:rPr>
        <w:t>（设备部）</w:t>
      </w:r>
    </w:p>
    <w:p>
      <w:pPr>
        <w:keepNext w:val="0"/>
        <w:keepLines w:val="0"/>
        <w:pageBreakBefore w:val="0"/>
        <w:widowControl w:val="0"/>
        <w:kinsoku/>
        <w:overflowPunct/>
        <w:topLinePunct w:val="0"/>
        <w:autoSpaceDE/>
        <w:autoSpaceDN/>
        <w:bidi w:val="0"/>
        <w:adjustRightInd/>
        <w:snapToGrid/>
        <w:spacing w:line="240" w:lineRule="auto"/>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1：资格承诺函（格式）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附件2：声明函（格式）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附件3：法定代表人授权书（格式）</w:t>
      </w:r>
    </w:p>
    <w:p>
      <w:pPr>
        <w:keepNext w:val="0"/>
        <w:keepLines w:val="0"/>
        <w:pageBreakBefore w:val="0"/>
        <w:widowControl w:val="0"/>
        <w:kinsoku/>
        <w:overflowPunct/>
        <w:topLinePunct w:val="0"/>
        <w:autoSpaceDE/>
        <w:autoSpaceDN/>
        <w:bidi w:val="0"/>
        <w:adjustRightInd/>
        <w:snapToGrid/>
        <w:spacing w:line="240" w:lineRule="auto"/>
        <w:ind w:firstLine="480" w:firstLineChars="200"/>
        <w:textAlignment w:val="auto"/>
        <w:outlineLvl w:val="9"/>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outlineLvl w:val="9"/>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outlineLvl w:val="9"/>
        <w:rPr>
          <w:rFonts w:ascii="Times New Roman" w:hAnsi="Times New Roman" w:eastAsia="宋体"/>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eastAsia="zh-CN"/>
        </w:rPr>
        <w:t>附件</w:t>
      </w:r>
      <w:r>
        <w:rPr>
          <w:rFonts w:hint="eastAsia" w:ascii="Times New Roman" w:hAnsi="Times New Roman" w:eastAsia="宋体" w:cs="Times New Roman"/>
          <w:bCs/>
          <w:color w:val="auto"/>
          <w:sz w:val="24"/>
          <w:szCs w:val="24"/>
          <w:lang w:val="en-US" w:eastAsia="zh-CN"/>
        </w:rPr>
        <w:t>1：资格承诺函（格式）</w:t>
      </w:r>
    </w:p>
    <w:p>
      <w:pPr>
        <w:jc w:val="center"/>
        <w:rPr>
          <w:rFonts w:hint="eastAsia" w:ascii="Times New Roman" w:hAnsi="Times New Roman" w:eastAsia="宋体" w:cs="Times New Roman"/>
          <w:bCs/>
          <w:color w:val="auto"/>
          <w:spacing w:val="20"/>
          <w:sz w:val="24"/>
          <w:szCs w:val="24"/>
          <w:lang w:val="en-US" w:eastAsia="zh-CN"/>
        </w:rPr>
      </w:pPr>
      <w:r>
        <w:rPr>
          <w:rFonts w:hint="eastAsia" w:ascii="Times New Roman" w:hAnsi="Times New Roman" w:eastAsia="宋体" w:cs="Times New Roman"/>
          <w:b/>
          <w:bCs w:val="0"/>
          <w:color w:val="auto"/>
          <w:spacing w:val="20"/>
          <w:sz w:val="28"/>
          <w:szCs w:val="28"/>
          <w:lang w:val="en-US" w:eastAsia="zh-CN"/>
        </w:rPr>
        <w:t>资格承诺函</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致：</w:t>
      </w:r>
      <w:r>
        <w:rPr>
          <w:rFonts w:hint="eastAsia" w:ascii="Times New Roman" w:hAnsi="Times New Roman" w:eastAsia="宋体"/>
          <w:color w:val="auto"/>
          <w:sz w:val="24"/>
          <w:szCs w:val="24"/>
          <w:lang w:eastAsia="zh-CN"/>
        </w:rPr>
        <w:t>福建省青山纸业股份有限公司</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我单位参与招标编号为</w:t>
      </w:r>
      <w:r>
        <w:rPr>
          <w:rFonts w:hint="eastAsia" w:ascii="Times New Roman" w:hAnsi="Times New Roman" w:eastAsia="宋体"/>
          <w:color w:val="auto"/>
          <w:sz w:val="24"/>
          <w:szCs w:val="24"/>
          <w:u w:val="single"/>
          <w:lang w:val="en-US" w:eastAsia="zh-CN"/>
        </w:rPr>
        <w:t>2022SB</w:t>
      </w:r>
      <w:r>
        <w:rPr>
          <w:rFonts w:hint="eastAsia" w:ascii="Times New Roman" w:hAnsi="Times New Roman"/>
          <w:color w:val="auto"/>
          <w:sz w:val="24"/>
          <w:szCs w:val="24"/>
          <w:u w:val="single"/>
          <w:lang w:val="en-US" w:eastAsia="zh-CN"/>
        </w:rPr>
        <w:t>303</w:t>
      </w:r>
      <w:r>
        <w:rPr>
          <w:rFonts w:hint="eastAsia" w:ascii="Times New Roman" w:hAnsi="Times New Roman" w:eastAsia="宋体"/>
          <w:color w:val="auto"/>
          <w:sz w:val="24"/>
          <w:szCs w:val="24"/>
        </w:rPr>
        <w:t>的</w:t>
      </w:r>
      <w:r>
        <w:rPr>
          <w:rFonts w:hint="eastAsia" w:ascii="Times New Roman" w:hAnsi="Times New Roman" w:eastAsia="宋体"/>
          <w:color w:val="auto"/>
          <w:sz w:val="24"/>
          <w:szCs w:val="24"/>
          <w:u w:val="single"/>
        </w:rPr>
        <w:t>板纸事业部高浓盘磨磨片采购</w:t>
      </w:r>
      <w:r>
        <w:rPr>
          <w:rFonts w:hint="eastAsia" w:ascii="Times New Roman" w:hAnsi="Times New Roman" w:eastAsia="宋体"/>
          <w:color w:val="auto"/>
          <w:sz w:val="24"/>
          <w:szCs w:val="24"/>
        </w:rPr>
        <w:t>招标项目，</w:t>
      </w:r>
      <w:r>
        <w:rPr>
          <w:rFonts w:hint="eastAsia" w:ascii="Times New Roman" w:hAnsi="Times New Roman" w:eastAsia="宋体"/>
          <w:color w:val="auto"/>
          <w:sz w:val="24"/>
          <w:szCs w:val="24"/>
          <w:lang w:eastAsia="zh-CN"/>
        </w:rPr>
        <w:t>对招标文件资格要求第</w:t>
      </w:r>
      <w:r>
        <w:rPr>
          <w:rFonts w:hint="eastAsia" w:ascii="Times New Roman" w:hAnsi="Times New Roman" w:eastAsia="宋体"/>
          <w:color w:val="auto"/>
          <w:sz w:val="24"/>
          <w:szCs w:val="24"/>
          <w:lang w:val="en-US" w:eastAsia="zh-CN"/>
        </w:rPr>
        <w:t>4.2和4.4项现</w:t>
      </w:r>
      <w:r>
        <w:rPr>
          <w:rFonts w:hint="eastAsia" w:ascii="Times New Roman" w:hAnsi="Times New Roman" w:eastAsia="宋体"/>
          <w:color w:val="auto"/>
          <w:sz w:val="24"/>
          <w:szCs w:val="24"/>
        </w:rPr>
        <w:t>承诺如下：</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我单位具有符合</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文件资格要求的财务</w:t>
      </w:r>
      <w:bookmarkStart w:id="0" w:name="_GoBack"/>
      <w:bookmarkEnd w:id="0"/>
      <w:r>
        <w:rPr>
          <w:rFonts w:hint="eastAsia" w:ascii="Times New Roman" w:hAnsi="Times New Roman" w:eastAsia="宋体"/>
          <w:color w:val="auto"/>
          <w:sz w:val="24"/>
          <w:szCs w:val="24"/>
        </w:rPr>
        <w:t>状况报告。</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我单位具有符合</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文件资格要求的依法缴纳税收证明材料。</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我单位具有符合</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文件资格要求的依法缴纳社会保障资金证明材料。</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若我单位承诺不实，自愿承担提供虚假材料谋取中标、成交的法律责任。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说明：1.</w:t>
      </w: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可自行选择是否提供本承诺函，若不提供本承诺函的，应按</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文件要求提供相应的证明材料。2.</w:t>
      </w: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可</w:t>
      </w:r>
      <w:r>
        <w:rPr>
          <w:rFonts w:hint="eastAsia" w:ascii="Times New Roman" w:hAnsi="Times New Roman" w:eastAsia="宋体"/>
          <w:color w:val="auto"/>
          <w:sz w:val="24"/>
          <w:szCs w:val="24"/>
          <w:lang w:eastAsia="zh-CN"/>
        </w:rPr>
        <w:t>删</w:t>
      </w:r>
      <w:r>
        <w:rPr>
          <w:rFonts w:hint="eastAsia" w:ascii="Times New Roman" w:hAnsi="Times New Roman" w:eastAsia="宋体"/>
          <w:color w:val="auto"/>
          <w:sz w:val="24"/>
          <w:szCs w:val="24"/>
        </w:rPr>
        <w:t>减承诺事项</w:t>
      </w:r>
      <w:r>
        <w:rPr>
          <w:rFonts w:hint="eastAsia" w:ascii="Times New Roman" w:hAnsi="Times New Roman" w:eastAsia="宋体"/>
          <w:color w:val="auto"/>
          <w:sz w:val="24"/>
          <w:szCs w:val="24"/>
          <w:lang w:eastAsia="zh-CN"/>
        </w:rPr>
        <w:t>并提供相应材料</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删</w:t>
      </w:r>
      <w:r>
        <w:rPr>
          <w:rFonts w:hint="eastAsia" w:ascii="Times New Roman" w:hAnsi="Times New Roman" w:eastAsia="宋体"/>
          <w:color w:val="auto"/>
          <w:sz w:val="24"/>
          <w:szCs w:val="24"/>
        </w:rPr>
        <w:t>去承诺第</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项的，则应按</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文件要求提供财务状况报告。</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br w:type="page"/>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附件2：声明函</w:t>
      </w:r>
      <w:r>
        <w:rPr>
          <w:rFonts w:hint="eastAsia" w:ascii="Times New Roman" w:hAnsi="Times New Roman" w:eastAsia="宋体" w:cs="Times New Roman"/>
          <w:bCs/>
          <w:color w:val="auto"/>
          <w:sz w:val="24"/>
          <w:szCs w:val="24"/>
          <w:lang w:val="en-US" w:eastAsia="zh-CN"/>
        </w:rPr>
        <w:t>（格式）</w:t>
      </w:r>
    </w:p>
    <w:p>
      <w:pPr>
        <w:keepNext w:val="0"/>
        <w:keepLines w:val="0"/>
        <w:pageBreakBefore w:val="0"/>
        <w:widowControl w:val="0"/>
        <w:kinsoku/>
        <w:wordWrap/>
        <w:overflowPunct/>
        <w:topLinePunct w:val="0"/>
        <w:autoSpaceDE/>
        <w:autoSpaceDN/>
        <w:bidi w:val="0"/>
        <w:adjustRightInd/>
        <w:snapToGrid/>
        <w:spacing w:line="240" w:lineRule="auto"/>
        <w:ind w:firstLine="642" w:firstLineChars="200"/>
        <w:jc w:val="center"/>
        <w:textAlignment w:val="auto"/>
        <w:outlineLvl w:val="9"/>
        <w:rPr>
          <w:rFonts w:hint="eastAsia" w:ascii="Times New Roman" w:hAnsi="Times New Roman" w:eastAsia="宋体"/>
          <w:color w:val="auto"/>
          <w:spacing w:val="20"/>
          <w:sz w:val="28"/>
          <w:szCs w:val="28"/>
          <w:lang w:val="en-US" w:eastAsia="zh-CN"/>
        </w:rPr>
      </w:pPr>
      <w:r>
        <w:rPr>
          <w:rFonts w:hint="eastAsia" w:ascii="Times New Roman" w:hAnsi="Times New Roman" w:eastAsia="宋体"/>
          <w:b/>
          <w:bCs/>
          <w:color w:val="auto"/>
          <w:spacing w:val="20"/>
          <w:sz w:val="28"/>
          <w:szCs w:val="28"/>
          <w:lang w:val="en-US" w:eastAsia="zh-CN"/>
        </w:rPr>
        <w:t>声明函</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致：福建省青山纸业股份有限公司</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我方具备履行合同所必需的设备和专业技术能力，能够按照要求提供相应设备及服务</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否则产生不利后果由我方承担责任。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我方近</w:t>
      </w:r>
      <w:r>
        <w:rPr>
          <w:rFonts w:hint="eastAsia" w:ascii="Times New Roman" w:hAnsi="Times New Roman" w:eastAsia="宋体"/>
          <w:color w:val="auto"/>
          <w:sz w:val="24"/>
          <w:szCs w:val="24"/>
        </w:rPr>
        <w:t>三年内在经营活动中没有重大违法记录。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特此声明。</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rPr>
          <w:rFonts w:hint="eastAsia" w:ascii="Times New Roman" w:hAnsi="Times New Roman"/>
          <w:color w:val="auto"/>
          <w:sz w:val="24"/>
          <w:szCs w:val="24"/>
          <w:lang w:eastAsia="zh-CN"/>
        </w:rPr>
      </w:pPr>
      <w:r>
        <w:rPr>
          <w:rFonts w:hint="eastAsia" w:ascii="Times New Roman" w:hAnsi="Times New Roman"/>
          <w:color w:val="auto"/>
          <w:sz w:val="24"/>
          <w:szCs w:val="24"/>
          <w:lang w:eastAsia="zh-CN"/>
        </w:rPr>
        <w:t>（注：若有证明材料，附后。）</w:t>
      </w:r>
    </w:p>
    <w:p>
      <w:pPr>
        <w:rPr>
          <w:rFonts w:hint="eastAsia" w:ascii="Times New Roman" w:hAnsi="Times New Roman"/>
          <w:color w:val="auto"/>
          <w:sz w:val="24"/>
          <w:szCs w:val="24"/>
          <w:lang w:eastAsia="zh-CN"/>
        </w:rPr>
      </w:pPr>
      <w:r>
        <w:rPr>
          <w:rFonts w:hint="eastAsia" w:ascii="Times New Roman" w:hAnsi="Times New Roman"/>
          <w:color w:val="auto"/>
          <w:sz w:val="24"/>
          <w:szCs w:val="24"/>
          <w:lang w:eastAsia="zh-CN"/>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cs="Times New Roman"/>
          <w:bCs/>
          <w:color w:val="auto"/>
          <w:sz w:val="24"/>
          <w:szCs w:val="24"/>
          <w:lang w:val="en-US" w:eastAsia="zh-CN"/>
        </w:rPr>
        <w:t>3</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olor w:val="auto"/>
          <w:sz w:val="24"/>
          <w:szCs w:val="24"/>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Times New Roman" w:hAnsi="Times New Roman" w:eastAsia="宋体" w:cs="宋体"/>
          <w:sz w:val="28"/>
          <w:szCs w:val="28"/>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2SB303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2B4F28"/>
    <w:rsid w:val="05695BD0"/>
    <w:rsid w:val="05871BB5"/>
    <w:rsid w:val="06DE03E2"/>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E7F9E"/>
    <w:rsid w:val="2BC45956"/>
    <w:rsid w:val="2C525A9B"/>
    <w:rsid w:val="2D6E3876"/>
    <w:rsid w:val="2D91433C"/>
    <w:rsid w:val="2EA81856"/>
    <w:rsid w:val="301B3B01"/>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571F9B"/>
    <w:rsid w:val="485A1FE6"/>
    <w:rsid w:val="494848CE"/>
    <w:rsid w:val="4ACF470A"/>
    <w:rsid w:val="50635474"/>
    <w:rsid w:val="510D00AA"/>
    <w:rsid w:val="55867334"/>
    <w:rsid w:val="574E15B7"/>
    <w:rsid w:val="5D785372"/>
    <w:rsid w:val="5DAE499A"/>
    <w:rsid w:val="5F194A83"/>
    <w:rsid w:val="5F6F0FB4"/>
    <w:rsid w:val="610928EA"/>
    <w:rsid w:val="62A84C8F"/>
    <w:rsid w:val="63A30CC0"/>
    <w:rsid w:val="655834F7"/>
    <w:rsid w:val="661C08AC"/>
    <w:rsid w:val="67157C63"/>
    <w:rsid w:val="674E2FFC"/>
    <w:rsid w:val="68E3273E"/>
    <w:rsid w:val="69CB5362"/>
    <w:rsid w:val="6AF32396"/>
    <w:rsid w:val="6B0726BC"/>
    <w:rsid w:val="6B773290"/>
    <w:rsid w:val="6D0F5985"/>
    <w:rsid w:val="701A7798"/>
    <w:rsid w:val="71E749FC"/>
    <w:rsid w:val="71F55825"/>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2022-12-09T02:18:23Z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