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482" w:firstLineChars="200"/>
        <w:rPr>
          <w:rFonts w:hint="default"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：公司南部、北部厂区道路、道路两侧绿地保洁</w:t>
      </w:r>
    </w:p>
    <w:p>
      <w:pPr>
        <w:spacing w:line="400" w:lineRule="exact"/>
        <w:ind w:firstLine="482" w:firstLineChars="200"/>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数量、规模：</w:t>
      </w:r>
      <w:r>
        <w:rPr>
          <w:rFonts w:hint="eastAsia" w:ascii="Times New Roman" w:hAnsi="Times New Roman" w:eastAsia="宋体"/>
          <w:b w:val="0"/>
          <w:bCs/>
          <w:color w:val="auto"/>
          <w:sz w:val="24"/>
          <w:szCs w:val="24"/>
          <w:lang w:eastAsia="zh-CN"/>
        </w:rPr>
        <w:t>公司南部厂区道路清扫的面积约20000平方米（绿地保洁面积未计入）；公司北部厂区道路清扫的面积约23000平方米（绿地保洁面积未计入）；清扫的范围以图纸中的阴影面积为准。</w:t>
      </w:r>
    </w:p>
    <w:p>
      <w:pPr>
        <w:spacing w:line="400" w:lineRule="exact"/>
        <w:ind w:firstLine="482" w:firstLineChars="200"/>
        <w:rPr>
          <w:rFonts w:hint="eastAsia"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3.项目内容及要求</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3.1道路（含两侧的人行道）在每天早晨7:30以前打扫干净，节假日正常清扫；清扫过的路面不得有纸屑、塑料袋、快餐盒、泡沫、塑料片、木片、树叶等垃圾滞留；公司鼓励中标单位采用机械化作业方式清扫厂区道路，以减少厂区道路灰尘。</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3.2道路两边所有绿地每天保洁一次，并于当日9:00前保洁完毕，保洁后的绿地中不得有纸屑、塑料袋、快餐盒、泡沫、塑料片、木片、树叶等杂物滞留。</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3.3中标单位保洁人员在人工作业清扫道路时须配置1部小斗车或有效容器，用于接收所清扫的垃圾，未配置小斗车或有效容器1次扣罚100元；严禁将垃圾、杂物、污泥等冲入地沟或堆放于道路两侧或路面的排水井，如有发现，青山公司按每项每次300元的标准扣罚中标单位。</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3.4中标单位须做好厂区内道路旁绿色垃圾桶周围垃圾清扫工作，并把垃圾桶周围垃圾铲入垃圾桶内，否则扣罚中标单位每处300元（生产部每月抽查不少于一次）。如遇垃圾桶垃圾满无法把垃圾放入桶内必须及时告之青山公司生产部，否则按违约处理，每次扣罚300元。</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3.5清扫的垃圾或杂物应倒入指定的厂区绿色垃圾桶内。</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3.6中标单位在进行道路清扫、绿地保洁中的质量未达到青山公司要求，青山公司按每次每平方米10元的标准扣罚中标单位，并要求中标单位在规定的时间内进行整改。</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3.7中标单位当天没有进行道路清扫或绿地保洁（以生产部当天调取的监控为准），每次扣罚中标单位1000元。</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3.8合同生效后，若中标单位连续2个月的工作质量不能达到青山公司要求，青山公司有权单方解除合同；中标单位中途违约或单方终止合同，应赔偿青山公司违约金2万元。</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3.9投标单位所聘用的作业人员必须符合国家相关法律法规，必须按规定参加工伤保险以及与投标作业相关的保险。</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3.10中标单位从业人员应相对固定，做好从业人员上岗前和任职期间安全培训工作。</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3.11中标单位从业人员在作业过程中的安全措施及安全责任由中标单位负责。</w:t>
      </w:r>
    </w:p>
    <w:p>
      <w:pPr>
        <w:spacing w:line="400" w:lineRule="exact"/>
        <w:ind w:firstLine="482" w:firstLineChars="200"/>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项目时间及地点</w:t>
      </w:r>
    </w:p>
    <w:p>
      <w:pPr>
        <w:spacing w:line="400" w:lineRule="exact"/>
        <w:ind w:firstLine="480" w:firstLineChars="200"/>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4.1项目承包时间：2023年1月1日-2023年12月31日。</w:t>
      </w:r>
    </w:p>
    <w:p>
      <w:pPr>
        <w:spacing w:line="400" w:lineRule="exact"/>
        <w:ind w:firstLine="480" w:firstLineChars="200"/>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4.2项目地点：福建省三明市沙县青州镇福建省青山纸业股份有限公司指定区域内。</w:t>
      </w:r>
    </w:p>
    <w:p>
      <w:pPr>
        <w:spacing w:line="400" w:lineRule="exact"/>
        <w:ind w:firstLine="482" w:firstLineChars="200"/>
        <w:rPr>
          <w:rFonts w:hint="eastAsia" w:ascii="Times New Roman" w:hAnsi="Times New Roman" w:eastAsia="宋体"/>
          <w:b w:val="0"/>
          <w:bCs w:val="0"/>
          <w:color w:val="auto"/>
          <w:sz w:val="24"/>
          <w:szCs w:val="24"/>
          <w:lang w:eastAsia="zh-CN"/>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r>
        <w:rPr>
          <w:rFonts w:hint="eastAsia" w:ascii="Times New Roman" w:hAnsi="Times New Roman" w:eastAsia="宋体"/>
          <w:b/>
          <w:color w:val="auto"/>
          <w:sz w:val="24"/>
          <w:szCs w:val="24"/>
          <w:lang w:eastAsia="zh-CN"/>
        </w:rPr>
        <w:t>：</w:t>
      </w:r>
      <w:r>
        <w:rPr>
          <w:rFonts w:hint="eastAsia" w:ascii="Times New Roman" w:hAnsi="Times New Roman" w:eastAsia="宋体"/>
          <w:b w:val="0"/>
          <w:bCs w:val="0"/>
          <w:color w:val="auto"/>
          <w:sz w:val="24"/>
          <w:szCs w:val="24"/>
          <w:lang w:eastAsia="zh-CN"/>
        </w:rPr>
        <w:t>投标人应是具备独立法人资格或被授权的分支机构，有资质和能力提供服务、信用良好的国内企业，营业执照需具有卫生管理或劳务服务项目。</w:t>
      </w:r>
    </w:p>
    <w:p>
      <w:pPr>
        <w:spacing w:line="400" w:lineRule="exact"/>
        <w:ind w:firstLine="482" w:firstLineChars="200"/>
        <w:rPr>
          <w:rFonts w:hint="default"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：青山公司财务部按月支付，即在第二个月15日以前向承包方支付前一个月承包费用，同时承包方必须出具含3%增值税专用发票，所出具的发票必须由生产部签字认可。</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.报价规定</w:t>
      </w:r>
    </w:p>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7.1本项目设置招标控制价为：13750元/月（含3%税）。</w:t>
      </w:r>
    </w:p>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7.2投标人报价为含3%增值税的月承包价。</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7.3本次招标采取一次性报价方式。</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.评标办法</w:t>
      </w:r>
    </w:p>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8.1投标人报价超过招标控制价的，将否决其投标。</w:t>
      </w:r>
    </w:p>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8.2本项目采用经评审最低投标价中标的办法评标。经评审的最低投标价格的投标人确定为中标候选人，中标候选人将在本公司网站上公示三天，无异议后转为中标人。</w:t>
      </w:r>
    </w:p>
    <w:p>
      <w:pPr>
        <w:spacing w:line="400" w:lineRule="exact"/>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8.3如出现最低报价达两个或者以上的情况，则在相同最低报价人之间再次报价（不得高于一次报价），直至确定中标候选人。</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.开标时间、地点及参与方式</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lang w:val="en-US" w:eastAsia="zh-CN"/>
        </w:rPr>
        <w:t>22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20</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14</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.2参与方式：</w:t>
      </w:r>
      <w:r>
        <w:rPr>
          <w:rFonts w:hint="eastAsia" w:ascii="Times New Roman" w:hAnsi="Times New Roman" w:eastAsia="宋体"/>
          <w:color w:val="auto"/>
          <w:sz w:val="24"/>
          <w:szCs w:val="24"/>
          <w:lang w:eastAsia="zh-CN"/>
        </w:rPr>
        <w:t>（以下三种参与方式投标人可任选一种）</w:t>
      </w: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w:t>
      </w:r>
      <w:r>
        <w:rPr>
          <w:rFonts w:hint="eastAsia" w:ascii="Times New Roman" w:hAnsi="Times New Roman" w:eastAsia="宋体"/>
          <w:color w:val="auto"/>
          <w:sz w:val="24"/>
          <w:szCs w:val="24"/>
        </w:rPr>
        <w:t>1</w:t>
      </w:r>
      <w:r>
        <w:rPr>
          <w:rFonts w:ascii="Times New Roman" w:hAnsi="Times New Roman" w:eastAsia="宋体"/>
          <w:color w:val="auto"/>
          <w:sz w:val="24"/>
          <w:szCs w:val="24"/>
        </w:rPr>
        <w:t>现场：参与现场投标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投标人应于开标之前将投标文件送至青山纸业文化楼4楼招标办会议室。</w:t>
      </w:r>
      <w:r>
        <w:rPr>
          <w:rFonts w:hint="eastAsia" w:ascii="Times New Roman" w:hAnsi="Times New Roman" w:eastAsia="宋体"/>
          <w:color w:val="000000" w:themeColor="text1"/>
          <w:sz w:val="24"/>
          <w:szCs w:val="24"/>
          <w:u w:val="none"/>
          <w14:textFill>
            <w14:solidFill>
              <w14:schemeClr w14:val="tx1"/>
            </w14:solidFill>
          </w14:textFill>
        </w:rPr>
        <w:t>到会议现场参加开标的投标人代表，须遵守沙县政府和本公司关于新冠肺炎疫情防控的相关规定，并出示绿色健康码</w:t>
      </w:r>
      <w:r>
        <w:rPr>
          <w:rFonts w:hint="eastAsia" w:ascii="Times New Roman" w:hAnsi="Times New Roman" w:eastAsia="宋体"/>
          <w:color w:val="000000" w:themeColor="text1"/>
          <w:sz w:val="24"/>
          <w:szCs w:val="24"/>
          <w:u w:val="none"/>
          <w:lang w:eastAsia="zh-CN"/>
          <w14:textFill>
            <w14:solidFill>
              <w14:schemeClr w14:val="tx1"/>
            </w14:solidFill>
          </w14:textFill>
        </w:rPr>
        <w:t>。</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.2.2邮寄：以邮寄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spacing w:line="400" w:lineRule="exact"/>
        <w:ind w:firstLine="480" w:firstLineChars="200"/>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9.2.3网络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0</w:t>
      </w:r>
      <w:r>
        <w:rPr>
          <w:rFonts w:hint="eastAsia" w:ascii="Times New Roman" w:hAnsi="Times New Roman" w:eastAsia="宋体"/>
          <w:b/>
          <w:color w:val="auto"/>
          <w:sz w:val="24"/>
          <w:szCs w:val="24"/>
        </w:rPr>
        <w:t>.投标及履约保证金</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2万</w:t>
      </w:r>
      <w:r>
        <w:rPr>
          <w:rFonts w:ascii="Times New Roman" w:hAnsi="Times New Roman" w:eastAsia="宋体"/>
          <w:color w:val="auto"/>
          <w:sz w:val="24"/>
          <w:szCs w:val="24"/>
        </w:rPr>
        <w:t>元。</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.2投标保证金任选如下一种形式提交：</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.2.2投标保证金函；若本公司与投标人尚有</w:t>
      </w:r>
      <w:r>
        <w:rPr>
          <w:rFonts w:hint="eastAsia" w:ascii="Times New Roman" w:hAnsi="Times New Roman" w:eastAsia="宋体"/>
          <w:b/>
          <w:bCs/>
          <w:color w:val="auto"/>
          <w:sz w:val="24"/>
          <w:szCs w:val="24"/>
          <w:lang w:eastAsia="zh-CN"/>
        </w:rPr>
        <w:t>到期应付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.3对于未能按规定提交投标保证金的投标，将被视为不响应招标文件而予以拒绝。</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.5中标的投标人的投标保证金，将在中标人签订合同时转为履约保证金，合同按时履行完毕后予以退还，</w:t>
      </w:r>
      <w:r>
        <w:rPr>
          <w:rFonts w:hint="eastAsia" w:ascii="Times New Roman" w:hAnsi="Times New Roman" w:eastAsia="宋体"/>
          <w:color w:val="auto"/>
          <w:sz w:val="24"/>
          <w:szCs w:val="24"/>
        </w:rPr>
        <w:t>中标人无违约行为被扣款的，将全额无息退还</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以未结货款转抵形式的将转回未结货款并按正常渠道结算。</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.6如投标人有下列情况发生时，其投标保证金将被不予退还：</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.6.1投标人在投标有效期内撤回投标的；</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.6.4其他违反法律规定的。</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1</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w:t>
      </w:r>
      <w:r>
        <w:rPr>
          <w:rFonts w:ascii="Times New Roman" w:hAnsi="Times New Roman" w:eastAsia="宋体"/>
          <w:color w:val="auto"/>
          <w:sz w:val="24"/>
          <w:szCs w:val="24"/>
        </w:rPr>
        <w:t>第</w:t>
      </w:r>
      <w:r>
        <w:rPr>
          <w:rFonts w:hint="eastAsia" w:ascii="Times New Roman" w:hAnsi="Times New Roman" w:eastAsia="宋体"/>
          <w:color w:val="auto"/>
          <w:sz w:val="24"/>
          <w:szCs w:val="24"/>
          <w:lang w:eastAsia="zh-CN"/>
        </w:rPr>
        <w:t>二</w:t>
      </w:r>
      <w:r>
        <w:rPr>
          <w:rFonts w:ascii="Times New Roman" w:hAnsi="Times New Roman" w:eastAsia="宋体"/>
          <w:color w:val="auto"/>
          <w:sz w:val="24"/>
          <w:szCs w:val="24"/>
        </w:rPr>
        <w:t>部分为资格文件，第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11.1.1投标保证金凭证：银行电汇回单或投标保证金函。</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w:t>
      </w:r>
      <w:r>
        <w:rPr>
          <w:rFonts w:hint="eastAsia" w:ascii="Times New Roman" w:hAnsi="Times New Roman" w:eastAsia="宋体"/>
          <w:color w:val="auto"/>
          <w:sz w:val="24"/>
          <w:szCs w:val="24"/>
          <w:lang w:eastAsia="zh-CN"/>
        </w:rPr>
        <w:t>一</w:t>
      </w:r>
      <w:r>
        <w:rPr>
          <w:rFonts w:ascii="Times New Roman" w:hAnsi="Times New Roman" w:eastAsia="宋体"/>
          <w:color w:val="auto"/>
          <w:sz w:val="24"/>
          <w:szCs w:val="24"/>
        </w:rPr>
        <w:t>份，</w:t>
      </w:r>
      <w:r>
        <w:rPr>
          <w:rFonts w:hint="eastAsia" w:ascii="Times New Roman" w:hAnsi="Times New Roman" w:eastAsia="宋体"/>
          <w:color w:val="auto"/>
          <w:sz w:val="24"/>
          <w:szCs w:val="24"/>
          <w:lang w:eastAsia="zh-CN"/>
        </w:rPr>
        <w:t>主要有</w:t>
      </w:r>
      <w:r>
        <w:rPr>
          <w:rFonts w:hint="eastAsia" w:ascii="Times New Roman" w:hAnsi="Times New Roman" w:eastAsia="宋体"/>
          <w:color w:val="auto"/>
          <w:sz w:val="24"/>
          <w:szCs w:val="24"/>
        </w:rPr>
        <w:t>承包方案、劳动力及设备的安排、质量承诺及质量保障措施、技术偏离表、招标文件要求提供的其它技术方面的文件</w:t>
      </w:r>
      <w:r>
        <w:rPr>
          <w:rFonts w:ascii="Times New Roman" w:hAnsi="Times New Roman" w:eastAsia="宋体"/>
          <w:color w:val="auto"/>
          <w:sz w:val="24"/>
          <w:szCs w:val="24"/>
        </w:rPr>
        <w:t>，等等。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w:t>
      </w:r>
      <w:r>
        <w:rPr>
          <w:rFonts w:hint="eastAsia" w:ascii="Times New Roman" w:hAnsi="Times New Roman" w:eastAsia="宋体"/>
          <w:color w:val="auto"/>
          <w:sz w:val="24"/>
          <w:szCs w:val="24"/>
          <w:lang w:eastAsia="zh-CN"/>
        </w:rPr>
        <w:t>单</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spacing w:line="400" w:lineRule="exact"/>
        <w:ind w:firstLine="482" w:firstLineChars="200"/>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福建省青山纸业股份有限公司网站</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lang w:eastAsia="zh-CN"/>
        </w:rPr>
        <w:t>福建省轻纺(控股)有限责任公司</w:t>
      </w:r>
      <w:r>
        <w:rPr>
          <w:rFonts w:hint="eastAsia" w:ascii="Times New Roman" w:hAnsi="Times New Roman" w:eastAsia="宋体"/>
          <w:b w:val="0"/>
          <w:bCs w:val="0"/>
          <w:color w:val="0000FF"/>
          <w:sz w:val="24"/>
          <w:szCs w:val="24"/>
          <w:u w:val="none"/>
          <w:lang w:eastAsia="zh-CN"/>
        </w:rPr>
        <w:fldChar w:fldCharType="begin"/>
      </w:r>
      <w:r>
        <w:rPr>
          <w:rFonts w:hint="eastAsia" w:ascii="Times New Roman" w:hAnsi="Times New Roman" w:eastAsia="宋体"/>
          <w:b w:val="0"/>
          <w:bCs w:val="0"/>
          <w:color w:val="0000FF"/>
          <w:sz w:val="24"/>
          <w:szCs w:val="24"/>
          <w:u w:val="none"/>
          <w:lang w:eastAsia="zh-CN"/>
        </w:rPr>
        <w:instrText xml:space="preserve"> HYPERLINK "http://www.fjqfkg.com" </w:instrText>
      </w:r>
      <w:r>
        <w:rPr>
          <w:rFonts w:hint="eastAsia" w:ascii="Times New Roman" w:hAnsi="Times New Roman" w:eastAsia="宋体"/>
          <w:b w:val="0"/>
          <w:bCs w:val="0"/>
          <w:color w:val="0000FF"/>
          <w:sz w:val="24"/>
          <w:szCs w:val="24"/>
          <w:u w:val="none"/>
          <w:lang w:eastAsia="zh-CN"/>
        </w:rPr>
        <w:fldChar w:fldCharType="separate"/>
      </w:r>
      <w:r>
        <w:rPr>
          <w:rStyle w:val="10"/>
          <w:rFonts w:hint="eastAsia" w:ascii="Times New Roman" w:hAnsi="Times New Roman" w:eastAsia="宋体"/>
          <w:b w:val="0"/>
          <w:bCs w:val="0"/>
          <w:color w:val="0000FF"/>
          <w:sz w:val="24"/>
          <w:szCs w:val="24"/>
          <w:lang w:eastAsia="zh-CN"/>
        </w:rPr>
        <w:t>www.fjqfkg.com</w:t>
      </w:r>
      <w:r>
        <w:rPr>
          <w:rFonts w:hint="eastAsia" w:ascii="Times New Roman" w:hAnsi="Times New Roman" w:eastAsia="宋体"/>
          <w:b w:val="0"/>
          <w:bCs w:val="0"/>
          <w:color w:val="0000FF"/>
          <w:sz w:val="24"/>
          <w:szCs w:val="24"/>
          <w:u w:val="none"/>
          <w:lang w:eastAsia="zh-CN"/>
        </w:rPr>
        <w:fldChar w:fldCharType="end"/>
      </w:r>
      <w:r>
        <w:rPr>
          <w:rFonts w:hint="eastAsia" w:ascii="Times New Roman" w:hAnsi="Times New Roman" w:eastAsia="宋体"/>
          <w:b w:val="0"/>
          <w:bCs w:val="0"/>
          <w:color w:val="auto"/>
          <w:sz w:val="24"/>
          <w:szCs w:val="24"/>
          <w:u w:val="none"/>
          <w:lang w:eastAsia="zh-CN"/>
        </w:rPr>
        <w:t>、1688采购门户网址</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14.</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生产部：0598-5658397</w:t>
      </w:r>
    </w:p>
    <w:p>
      <w:pPr>
        <w:spacing w:line="400" w:lineRule="exact"/>
        <w:ind w:firstLine="480" w:firstLineChars="200"/>
        <w:rPr>
          <w:rFonts w:hint="eastAsia" w:ascii="Times New Roman" w:hAnsi="Times New Roman" w:eastAsia="宋体"/>
          <w:color w:val="auto"/>
          <w:sz w:val="24"/>
          <w:szCs w:val="24"/>
        </w:rPr>
      </w:pP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：投标报价</w:t>
      </w:r>
      <w:r>
        <w:rPr>
          <w:rFonts w:hint="eastAsia" w:ascii="Times New Roman" w:hAnsi="Times New Roman" w:eastAsia="宋体"/>
          <w:color w:val="auto"/>
          <w:sz w:val="24"/>
          <w:szCs w:val="24"/>
          <w:lang w:eastAsia="zh-CN"/>
        </w:rPr>
        <w:t>单</w:t>
      </w:r>
    </w:p>
    <w:p>
      <w:pPr>
        <w:spacing w:line="400" w:lineRule="exact"/>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spacing w:line="400" w:lineRule="exact"/>
        <w:ind w:firstLine="480" w:firstLineChars="200"/>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13</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xml:space="preserve"> </w:t>
      </w:r>
      <w:r>
        <w:rPr>
          <w:rFonts w:hint="eastAsia" w:ascii="Times New Roman" w:hAnsi="Times New Roman" w:eastAsia="宋体"/>
          <w:color w:val="auto"/>
          <w:sz w:val="24"/>
          <w:szCs w:val="24"/>
          <w:lang w:eastAsia="zh-CN"/>
        </w:rPr>
        <w:t>　　</w:t>
      </w:r>
    </w:p>
    <w:p>
      <w:pPr>
        <w:spacing w:line="400" w:lineRule="exact"/>
        <w:rPr>
          <w:rFonts w:ascii="Times New Roman" w:hAnsi="Times New Roman" w:eastAsia="宋体"/>
          <w:bCs/>
          <w:color w:val="auto"/>
          <w:sz w:val="24"/>
          <w:szCs w:val="24"/>
        </w:rPr>
      </w:pP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spacing w:line="360" w:lineRule="auto"/>
        <w:jc w:val="both"/>
        <w:rPr>
          <w:rFonts w:hint="eastAsia" w:ascii="Times New Roman" w:hAnsi="Times New Roman" w:eastAsia="宋体"/>
          <w:b w:val="0"/>
          <w:bCs/>
          <w:sz w:val="24"/>
          <w:szCs w:val="24"/>
          <w:lang w:val="en-US" w:eastAsia="zh-CN"/>
        </w:rPr>
      </w:pPr>
      <w:r>
        <w:rPr>
          <w:rFonts w:hint="eastAsia" w:ascii="Times New Roman" w:hAnsi="Times New Roman" w:eastAsia="宋体"/>
          <w:b w:val="0"/>
          <w:bCs/>
          <w:sz w:val="24"/>
          <w:szCs w:val="24"/>
          <w:lang w:eastAsia="zh-CN"/>
        </w:rPr>
        <w:t>附件</w:t>
      </w:r>
      <w:r>
        <w:rPr>
          <w:rFonts w:hint="eastAsia" w:ascii="Times New Roman" w:hAnsi="Times New Roman" w:eastAsia="宋体"/>
          <w:b w:val="0"/>
          <w:bCs/>
          <w:sz w:val="24"/>
          <w:szCs w:val="24"/>
          <w:lang w:val="en-US" w:eastAsia="zh-CN"/>
        </w:rPr>
        <w:t>1：投标报价单</w:t>
      </w:r>
    </w:p>
    <w:p>
      <w:pPr>
        <w:spacing w:line="360" w:lineRule="auto"/>
        <w:jc w:val="both"/>
        <w:rPr>
          <w:rFonts w:hint="default" w:ascii="Times New Roman" w:hAnsi="Times New Roman" w:eastAsia="宋体"/>
          <w:b w:val="0"/>
          <w:bCs/>
          <w:sz w:val="24"/>
          <w:szCs w:val="24"/>
          <w:lang w:val="en-US" w:eastAsia="zh-CN"/>
        </w:rPr>
      </w:pPr>
    </w:p>
    <w:p>
      <w:pPr>
        <w:spacing w:line="360" w:lineRule="auto"/>
        <w:jc w:val="center"/>
        <w:rPr>
          <w:rFonts w:hint="eastAsia" w:ascii="Times New Roman" w:hAnsi="Times New Roman" w:eastAsia="宋体"/>
          <w:b/>
          <w:sz w:val="24"/>
          <w:szCs w:val="24"/>
          <w:lang w:eastAsia="zh-CN"/>
        </w:rPr>
      </w:pPr>
      <w:r>
        <w:rPr>
          <w:rFonts w:hint="eastAsia" w:ascii="Times New Roman" w:hAnsi="Times New Roman" w:eastAsia="宋体"/>
          <w:b/>
          <w:sz w:val="30"/>
          <w:szCs w:val="30"/>
        </w:rPr>
        <w:t>投</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标</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报</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价</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lang w:eastAsia="zh-CN"/>
        </w:rPr>
        <w:t>单</w:t>
      </w:r>
    </w:p>
    <w:p>
      <w:pPr>
        <w:spacing w:line="360" w:lineRule="auto"/>
        <w:ind w:firstLine="480" w:firstLineChars="200"/>
        <w:jc w:val="left"/>
        <w:rPr>
          <w:rFonts w:hint="default" w:ascii="Times New Roman" w:hAnsi="Times New Roman" w:eastAsia="宋体"/>
          <w:sz w:val="24"/>
          <w:szCs w:val="24"/>
          <w:lang w:val="en-US" w:eastAsia="zh-CN"/>
        </w:rPr>
      </w:pPr>
      <w:r>
        <w:rPr>
          <w:rFonts w:hint="eastAsia" w:ascii="Times New Roman" w:hAnsi="Times New Roman" w:eastAsia="宋体"/>
          <w:sz w:val="24"/>
          <w:szCs w:val="24"/>
        </w:rPr>
        <w:t>项目编号：20</w:t>
      </w:r>
      <w:r>
        <w:rPr>
          <w:rFonts w:hint="eastAsia" w:ascii="Times New Roman" w:hAnsi="Times New Roman" w:eastAsia="宋体"/>
          <w:sz w:val="24"/>
          <w:szCs w:val="24"/>
          <w:lang w:val="en-US" w:eastAsia="zh-CN"/>
        </w:rPr>
        <w:t>22</w:t>
      </w:r>
      <w:r>
        <w:rPr>
          <w:rFonts w:hint="eastAsia" w:ascii="Times New Roman" w:hAnsi="Times New Roman" w:eastAsia="宋体"/>
          <w:sz w:val="24"/>
          <w:szCs w:val="24"/>
        </w:rPr>
        <w:t>SC</w:t>
      </w:r>
      <w:r>
        <w:rPr>
          <w:rFonts w:hint="eastAsia" w:ascii="Times New Roman" w:hAnsi="Times New Roman" w:eastAsia="宋体"/>
          <w:sz w:val="24"/>
          <w:szCs w:val="24"/>
          <w:lang w:val="en-US" w:eastAsia="zh-CN"/>
        </w:rPr>
        <w:t>318</w:t>
      </w:r>
    </w:p>
    <w:p>
      <w:pPr>
        <w:spacing w:line="36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项目名称：公司南部、北部厂区道路、道路两侧绿地保洁</w:t>
      </w:r>
    </w:p>
    <w:p>
      <w:pPr>
        <w:spacing w:line="360" w:lineRule="auto"/>
        <w:ind w:firstLine="480" w:firstLineChars="200"/>
        <w:jc w:val="left"/>
        <w:rPr>
          <w:rFonts w:hint="eastAsia" w:ascii="Times New Roman" w:hAnsi="Times New Roman" w:eastAsia="宋体"/>
          <w:sz w:val="24"/>
          <w:szCs w:val="24"/>
        </w:rPr>
      </w:pPr>
      <w:r>
        <w:rPr>
          <w:rFonts w:hint="eastAsia" w:ascii="Times New Roman" w:hAnsi="Times New Roman" w:eastAsia="宋体"/>
          <w:sz w:val="24"/>
          <w:szCs w:val="24"/>
        </w:rPr>
        <w:t>投标报价：</w:t>
      </w:r>
    </w:p>
    <w:p>
      <w:pPr>
        <w:spacing w:line="360" w:lineRule="auto"/>
        <w:ind w:firstLine="480" w:firstLineChars="200"/>
        <w:jc w:val="left"/>
        <w:rPr>
          <w:rFonts w:ascii="Times New Roman" w:hAnsi="Times New Roman" w:eastAsia="宋体"/>
          <w:sz w:val="24"/>
          <w:szCs w:val="24"/>
        </w:rPr>
      </w:pPr>
    </w:p>
    <w:p>
      <w:pPr>
        <w:spacing w:line="360" w:lineRule="auto"/>
        <w:ind w:firstLine="960" w:firstLineChars="400"/>
        <w:jc w:val="left"/>
        <w:rPr>
          <w:rFonts w:hint="eastAsia" w:ascii="Times New Roman" w:hAnsi="Times New Roman" w:eastAsia="宋体"/>
          <w:sz w:val="24"/>
          <w:szCs w:val="24"/>
          <w:lang w:eastAsia="zh-CN"/>
        </w:rPr>
      </w:pPr>
      <w:r>
        <w:rPr>
          <w:rFonts w:hint="eastAsia" w:ascii="Times New Roman" w:hAnsi="Times New Roman" w:eastAsia="宋体"/>
          <w:sz w:val="24"/>
          <w:szCs w:val="24"/>
        </w:rPr>
        <w:t>小写：</w:t>
      </w:r>
      <w:r>
        <w:rPr>
          <w:rFonts w:hint="eastAsia" w:ascii="Times New Roman" w:hAnsi="Times New Roman" w:eastAsia="宋体"/>
          <w:sz w:val="24"/>
          <w:szCs w:val="24"/>
          <w:u w:val="single"/>
        </w:rPr>
        <w:t>　　　　　　　　　　　　</w:t>
      </w:r>
      <w:r>
        <w:rPr>
          <w:rFonts w:hint="eastAsia" w:ascii="Times New Roman" w:hAnsi="Times New Roman" w:eastAsia="宋体"/>
          <w:sz w:val="24"/>
          <w:szCs w:val="24"/>
        </w:rPr>
        <w:t>元/</w:t>
      </w:r>
      <w:r>
        <w:rPr>
          <w:rFonts w:hint="eastAsia" w:ascii="Times New Roman" w:hAnsi="Times New Roman" w:eastAsia="宋体"/>
          <w:sz w:val="24"/>
          <w:szCs w:val="24"/>
          <w:lang w:eastAsia="zh-CN"/>
        </w:rPr>
        <w:t>月</w:t>
      </w:r>
    </w:p>
    <w:p>
      <w:pPr>
        <w:spacing w:line="360" w:lineRule="auto"/>
        <w:ind w:firstLine="480" w:firstLineChars="200"/>
        <w:jc w:val="left"/>
        <w:rPr>
          <w:rFonts w:ascii="Times New Roman" w:hAnsi="Times New Roman" w:eastAsia="宋体"/>
          <w:sz w:val="24"/>
          <w:szCs w:val="24"/>
        </w:rPr>
      </w:pPr>
    </w:p>
    <w:p>
      <w:pPr>
        <w:spacing w:line="360" w:lineRule="auto"/>
        <w:ind w:firstLine="960" w:firstLineChars="400"/>
        <w:jc w:val="left"/>
        <w:rPr>
          <w:rFonts w:hint="eastAsia" w:ascii="Times New Roman" w:hAnsi="Times New Roman" w:eastAsia="宋体"/>
          <w:sz w:val="24"/>
          <w:szCs w:val="24"/>
          <w:lang w:eastAsia="zh-CN"/>
        </w:rPr>
      </w:pPr>
      <w:r>
        <w:rPr>
          <w:rFonts w:hint="eastAsia" w:ascii="Times New Roman" w:hAnsi="Times New Roman" w:eastAsia="宋体"/>
          <w:sz w:val="24"/>
          <w:szCs w:val="24"/>
        </w:rPr>
        <w:t>大写：</w:t>
      </w:r>
      <w:r>
        <w:rPr>
          <w:rFonts w:hint="eastAsia" w:ascii="Times New Roman" w:hAnsi="Times New Roman" w:eastAsia="宋体"/>
          <w:sz w:val="24"/>
          <w:szCs w:val="24"/>
          <w:u w:val="single"/>
        </w:rPr>
        <w:t>　　　　　　　　　　　　</w:t>
      </w:r>
      <w:r>
        <w:rPr>
          <w:rFonts w:hint="eastAsia" w:ascii="Times New Roman" w:hAnsi="Times New Roman" w:eastAsia="宋体"/>
          <w:sz w:val="24"/>
          <w:szCs w:val="24"/>
        </w:rPr>
        <w:t>元/</w:t>
      </w:r>
      <w:r>
        <w:rPr>
          <w:rFonts w:hint="eastAsia" w:ascii="Times New Roman" w:hAnsi="Times New Roman" w:eastAsia="宋体"/>
          <w:sz w:val="24"/>
          <w:szCs w:val="24"/>
          <w:lang w:eastAsia="zh-CN"/>
        </w:rPr>
        <w:t>月</w:t>
      </w:r>
    </w:p>
    <w:p>
      <w:pPr>
        <w:spacing w:line="360" w:lineRule="auto"/>
        <w:ind w:firstLine="960" w:firstLineChars="400"/>
        <w:jc w:val="left"/>
        <w:rPr>
          <w:rFonts w:hint="eastAsia" w:ascii="Times New Roman" w:hAnsi="Times New Roman" w:eastAsia="宋体"/>
          <w:sz w:val="24"/>
          <w:szCs w:val="24"/>
        </w:rPr>
      </w:pPr>
    </w:p>
    <w:p>
      <w:pPr>
        <w:spacing w:line="360" w:lineRule="auto"/>
        <w:ind w:firstLine="960" w:firstLineChars="400"/>
        <w:jc w:val="left"/>
        <w:rPr>
          <w:rFonts w:hint="eastAsia" w:ascii="Times New Roman" w:hAnsi="Times New Roman" w:eastAsia="宋体"/>
          <w:sz w:val="24"/>
          <w:szCs w:val="24"/>
        </w:rPr>
      </w:pPr>
      <w:r>
        <w:rPr>
          <w:rFonts w:hint="eastAsia" w:ascii="Times New Roman" w:hAnsi="Times New Roman" w:eastAsia="宋体"/>
          <w:sz w:val="24"/>
          <w:szCs w:val="24"/>
        </w:rPr>
        <w:t>税率：</w:t>
      </w:r>
      <w:r>
        <w:rPr>
          <w:rFonts w:hint="eastAsia" w:ascii="Times New Roman" w:hAnsi="Times New Roman" w:eastAsia="宋体"/>
          <w:sz w:val="24"/>
          <w:szCs w:val="24"/>
          <w:u w:val="single"/>
        </w:rPr>
        <w:t>　　　</w:t>
      </w:r>
      <w:r>
        <w:rPr>
          <w:rFonts w:hint="eastAsia" w:ascii="Times New Roman" w:hAnsi="Times New Roman" w:eastAsia="宋体"/>
          <w:sz w:val="24"/>
          <w:szCs w:val="24"/>
        </w:rPr>
        <w:t>%</w:t>
      </w: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是否响应招标文件：</w:t>
      </w: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投标人代表：</w:t>
      </w:r>
    </w:p>
    <w:p>
      <w:pPr>
        <w:spacing w:line="36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（法定代表人或被授权人签字）</w:t>
      </w: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投标人：</w:t>
      </w:r>
    </w:p>
    <w:p>
      <w:pPr>
        <w:spacing w:line="36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（单位盖章）</w:t>
      </w: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时间：</w:t>
      </w:r>
      <w:r>
        <w:rPr>
          <w:rFonts w:ascii="Times New Roman" w:hAnsi="Times New Roman" w:eastAsia="宋体"/>
          <w:sz w:val="24"/>
          <w:szCs w:val="24"/>
        </w:rPr>
        <w:t xml:space="preserve">    年    月  </w:t>
      </w:r>
      <w:r>
        <w:rPr>
          <w:rFonts w:hint="eastAsia" w:ascii="Times New Roman" w:hAnsi="Times New Roman" w:eastAsia="宋体"/>
          <w:sz w:val="24"/>
          <w:szCs w:val="24"/>
        </w:rPr>
        <w:t xml:space="preserve"> </w:t>
      </w:r>
      <w:r>
        <w:rPr>
          <w:rFonts w:ascii="Times New Roman" w:hAnsi="Times New Roman" w:eastAsia="宋体"/>
          <w:sz w:val="24"/>
          <w:szCs w:val="24"/>
        </w:rPr>
        <w:t xml:space="preserve"> 日</w:t>
      </w:r>
    </w:p>
    <w:p>
      <w:pPr>
        <w:rPr>
          <w:rFonts w:hint="eastAsia" w:ascii="Times New Roman" w:hAnsi="Times New Roman" w:eastAsia="宋体" w:cs="Times New Roman"/>
          <w:bCs/>
          <w:color w:val="auto"/>
          <w:sz w:val="24"/>
          <w:szCs w:val="24"/>
        </w:rPr>
      </w:pP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bookmarkStart w:id="0" w:name="_GoBack"/>
      <w:bookmarkEnd w:id="0"/>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5040" w:firstLineChars="1800"/>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2SC318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571F9B"/>
    <w:rsid w:val="485A1FE6"/>
    <w:rsid w:val="494848CE"/>
    <w:rsid w:val="4ACF470A"/>
    <w:rsid w:val="50635474"/>
    <w:rsid w:val="510D00AA"/>
    <w:rsid w:val="53B91808"/>
    <w:rsid w:val="55867334"/>
    <w:rsid w:val="574E15B7"/>
    <w:rsid w:val="5D23354B"/>
    <w:rsid w:val="5D785372"/>
    <w:rsid w:val="5DAE499A"/>
    <w:rsid w:val="5F194A83"/>
    <w:rsid w:val="5F6F0FB4"/>
    <w:rsid w:val="610928EA"/>
    <w:rsid w:val="62A84C8F"/>
    <w:rsid w:val="63A30CC0"/>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2022-12-13T08:26:29Z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