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：板纸事业部上唇板</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2490"/>
        <w:gridCol w:w="1127"/>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11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c>
          <w:tcPr>
            <w:tcW w:w="44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型号规格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jc w:val="center"/>
        </w:trPr>
        <w:tc>
          <w:tcPr>
            <w:tcW w:w="8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上唇板</w:t>
            </w:r>
          </w:p>
        </w:tc>
        <w:tc>
          <w:tcPr>
            <w:tcW w:w="11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1件</w:t>
            </w:r>
          </w:p>
        </w:tc>
        <w:tc>
          <w:tcPr>
            <w:tcW w:w="44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原上唇板型号：TYPE CODE：HeadboxHQC</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（1）原上唇板相关参数：YEAR BUILT：2006；DRAWING NO：VH100336；SERIE NO：13143000。</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（2）原上唇板品牌：VAAHTO。</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（2）现场工况：介质:浆料、温度:60℃左右、PH值约7.0。投标方提供的上唇板必须保证能与青山纸业现有型号：TYPE CODE：HeadboxHQC上唇板相互换使用。上唇板保证尺寸上百分百无误差安装，满足现场安装及使用要求，不得改变原有的上唇板形式。投标方需注明上唇板选用材质，附现场实物图。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4.2</w:t>
      </w:r>
      <w:r>
        <w:rPr>
          <w:rFonts w:hint="eastAsia" w:ascii="Times New Roman" w:hAnsi="Times New Roman" w:eastAsia="宋体"/>
          <w:b w:val="0"/>
          <w:bCs w:val="0"/>
          <w:color w:val="auto"/>
          <w:sz w:val="24"/>
          <w:szCs w:val="24"/>
          <w:lang w:eastAsia="zh-CN"/>
        </w:rPr>
        <w:t>具有良好的商业信誉和健全的财务会计制度（提供近一年财务状况报告或资格承诺函）；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4.3</w:t>
      </w:r>
      <w:r>
        <w:rPr>
          <w:rFonts w:hint="eastAsia" w:ascii="Times New Roman" w:hAnsi="Times New Roman" w:eastAsia="宋体"/>
          <w:b w:val="0"/>
          <w:bCs w:val="0"/>
          <w:color w:val="auto"/>
          <w:sz w:val="24"/>
          <w:szCs w:val="24"/>
          <w:lang w:eastAsia="zh-CN"/>
        </w:rPr>
        <w:t>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4.4</w:t>
      </w:r>
      <w:r>
        <w:rPr>
          <w:rFonts w:hint="eastAsia" w:ascii="Times New Roman" w:hAnsi="Times New Roman" w:eastAsia="宋体"/>
          <w:b w:val="0"/>
          <w:bCs w:val="0"/>
          <w:color w:val="auto"/>
          <w:sz w:val="24"/>
          <w:szCs w:val="24"/>
          <w:lang w:eastAsia="zh-CN"/>
        </w:rPr>
        <w:t>具有依法缴纳税收和社会保障资金的良好记录（提供近一年依法缴纳税收和社会保障资金的证明材料或资格承诺函）；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4.5</w:t>
      </w:r>
      <w:r>
        <w:rPr>
          <w:rFonts w:hint="eastAsia" w:ascii="Times New Roman" w:hAnsi="Times New Roman" w:eastAsia="宋体"/>
          <w:b w:val="0"/>
          <w:bCs w:val="0"/>
          <w:color w:val="auto"/>
          <w:sz w:val="24"/>
          <w:szCs w:val="24"/>
          <w:lang w:eastAsia="zh-CN"/>
        </w:rPr>
        <w:t>近三年内，在经营活动中没有重大违法记录（提供声明函）；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4.6</w:t>
      </w:r>
      <w:r>
        <w:rPr>
          <w:rFonts w:hint="eastAsia" w:ascii="Times New Roman" w:hAnsi="Times New Roman" w:eastAsia="宋体"/>
          <w:b w:val="0"/>
          <w:bCs w:val="0"/>
          <w:color w:val="auto"/>
          <w:sz w:val="24"/>
          <w:szCs w:val="24"/>
          <w:lang w:eastAsia="zh-CN"/>
        </w:rPr>
        <w:t>非生产单位投标必须出具生产单位的代理授权证书。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5.1投标方提供的备件应为制造厂原装、最新、全新的产品；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5.2中标方应保证对质量保证期内因提供的制造或材料缺陷所有因中标方责任引起的设备任何缺陷、故障和损坏负责；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5.3中标方负责备件的运输，凡备件到招标方之前的意外损失由中标方负责承担；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5.4投标方技术交流、到招标方现场人员应按有关规定，采取严格的安全防护措施，承担由于自身安全措施不力造成安全事故的责任和因此发生的费用。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w:t>
      </w:r>
      <w:r>
        <w:rPr>
          <w:rFonts w:hint="default" w:ascii="Times New Roman" w:hAnsi="Times New Roman" w:eastAsia="宋体"/>
          <w:b/>
          <w:bCs/>
          <w:color w:val="auto"/>
          <w:sz w:val="24"/>
          <w:szCs w:val="24"/>
          <w:lang w:val="en-US" w:eastAsia="zh-CN"/>
        </w:rPr>
        <w:t>违约责任</w:t>
      </w:r>
      <w:r>
        <w:rPr>
          <w:rFonts w:hint="default" w:ascii="Times New Roman" w:hAnsi="Times New Roman" w:eastAsia="宋体"/>
          <w:b w:val="0"/>
          <w:bCs w:val="0"/>
          <w:color w:val="auto"/>
          <w:sz w:val="24"/>
          <w:szCs w:val="24"/>
          <w:lang w:val="en-US" w:eastAsia="zh-CN"/>
        </w:rPr>
        <w:t>：中标并签订合同后，不能按时履约必须支付违约金为合同总额的1</w:t>
      </w:r>
      <w:r>
        <w:rPr>
          <w:rFonts w:hint="eastAsia" w:ascii="Times New Roman" w:hAnsi="Times New Roman" w:eastAsia="宋体"/>
          <w:b w:val="0"/>
          <w:bCs w:val="0"/>
          <w:color w:val="auto"/>
          <w:sz w:val="24"/>
          <w:szCs w:val="24"/>
          <w:lang w:val="en-US" w:eastAsia="zh-CN"/>
        </w:rPr>
        <w:t>0</w:t>
      </w:r>
      <w:r>
        <w:rPr>
          <w:rFonts w:hint="default" w:ascii="Times New Roman" w:hAnsi="Times New Roman" w:eastAsia="宋体"/>
          <w:b w:val="0"/>
          <w:bCs w:val="0"/>
          <w:color w:val="auto"/>
          <w:sz w:val="24"/>
          <w:szCs w:val="24"/>
          <w:lang w:val="en-US" w:eastAsia="zh-CN"/>
        </w:rPr>
        <w:t>%，其余按</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中华人民共和国民法典</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7.验收标准</w:t>
      </w:r>
      <w:r>
        <w:rPr>
          <w:rFonts w:hint="eastAsia" w:ascii="Times New Roman" w:hAnsi="Times New Roman" w:eastAsia="宋体"/>
          <w:b w:val="0"/>
          <w:bCs/>
          <w:color w:val="auto"/>
          <w:sz w:val="24"/>
          <w:szCs w:val="24"/>
          <w:lang w:val="en-US" w:eastAsia="zh-CN"/>
        </w:rPr>
        <w:t>：备件按照生产厂家的产品验收标准（投标人投标时提供）和中国国家标准以及招标文件规定的技术要求进行验收。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：自使用合格开始十二个月或备件到厂后十八个月（以先到为准），投标人可承诺更长的质保期。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2报价为含13%增值税到厂人民币价格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③预付方式3分：无预付款的得3分，其他的得0分。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12</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22</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.2.1现场：参与现场投标的，投标人应于开标之前将投标文件送至青山纸业文化楼4楼招标办会议室。到会议现</w:t>
      </w:r>
      <w:bookmarkStart w:id="0" w:name="_GoBack"/>
      <w:bookmarkEnd w:id="0"/>
      <w:r>
        <w:rPr>
          <w:rFonts w:hint="eastAsia" w:ascii="Times New Roman" w:hAnsi="Times New Roman" w:eastAsia="宋体"/>
          <w:color w:val="auto"/>
          <w:sz w:val="24"/>
          <w:szCs w:val="24"/>
        </w:rPr>
        <w:t>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12.2.3网络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6000元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14.1.1投标保证金凭证：银行电汇回单或投标保证金函。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17.</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技术联系人：林宇宁18750855309（板纸事业部3#机）</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1：资格承诺函（格式）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附件3：法定代表人授权书（格式）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15</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lang w:val="en-US" w:eastAsia="zh-CN"/>
        </w:rPr>
        <w:t>2022SB</w:t>
      </w:r>
      <w:r>
        <w:rPr>
          <w:rFonts w:hint="eastAsia" w:ascii="Times New Roman" w:hAnsi="Times New Roman"/>
          <w:color w:val="auto"/>
          <w:sz w:val="24"/>
          <w:szCs w:val="24"/>
          <w:u w:val="single"/>
          <w:lang w:val="en-US" w:eastAsia="zh-CN"/>
        </w:rPr>
        <w:t>323</w:t>
      </w:r>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板纸事业部</w:t>
      </w:r>
      <w:r>
        <w:rPr>
          <w:rFonts w:hint="eastAsia" w:ascii="Times New Roman" w:hAnsi="Times New Roman" w:eastAsia="宋体"/>
          <w:color w:val="auto"/>
          <w:sz w:val="24"/>
          <w:szCs w:val="24"/>
          <w:u w:val="single"/>
          <w:lang w:eastAsia="zh-CN"/>
        </w:rPr>
        <w:t>上唇板</w:t>
      </w:r>
      <w:r>
        <w:rPr>
          <w:rFonts w:hint="eastAsia" w:ascii="Times New Roman" w:hAnsi="Times New Roman" w:eastAsia="宋体"/>
          <w:color w:val="auto"/>
          <w:sz w:val="24"/>
          <w:szCs w:val="24"/>
          <w:u w:val="single"/>
        </w:rPr>
        <w:t>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我方近</w:t>
      </w:r>
      <w:r>
        <w:rPr>
          <w:rFonts w:hint="eastAsia" w:ascii="Times New Roman" w:hAnsi="Times New Roman" w:eastAsia="宋体"/>
          <w:color w:val="auto"/>
          <w:sz w:val="24"/>
          <w:szCs w:val="24"/>
        </w:rPr>
        <w:t>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color w:val="auto"/>
          <w:sz w:val="24"/>
          <w:szCs w:val="24"/>
          <w:lang w:eastAsia="zh-CN"/>
        </w:rPr>
        <w:t>（注：若有证明材料，附后。）</w:t>
      </w: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2SB323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2022-12-15T07:57:29Z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