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ind w:firstLine="482" w:firstLineChars="200"/>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：热电厂高压异步电动机采购</w:t>
      </w:r>
    </w:p>
    <w:p>
      <w:pPr>
        <w:spacing w:line="400" w:lineRule="exact"/>
        <w:ind w:firstLine="482" w:firstLineChars="200"/>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w:t>
      </w:r>
    </w:p>
    <w:p>
      <w:pPr>
        <w:spacing w:line="400" w:lineRule="exact"/>
        <w:ind w:firstLine="480" w:firstLineChars="200"/>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高压异步电动机YXKK450-8、6000V、400KW（电机为替换原有电机JS158-8，6kV，380kW），数量：壹台。</w:t>
      </w:r>
    </w:p>
    <w:p>
      <w:pPr>
        <w:spacing w:line="400" w:lineRule="exact"/>
        <w:ind w:firstLine="482"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3.主要技术、质量的要求</w:t>
      </w:r>
      <w:r>
        <w:rPr>
          <w:rFonts w:hint="eastAsia" w:ascii="Times New Roman" w:hAnsi="Times New Roman" w:eastAsia="宋体"/>
          <w:b w:val="0"/>
          <w:bCs w:val="0"/>
          <w:color w:val="auto"/>
          <w:sz w:val="24"/>
          <w:szCs w:val="24"/>
          <w:lang w:val="en-US" w:eastAsia="zh-CN"/>
        </w:rPr>
        <w:t>：由于此电机为替换原有电机JS158-8，6kV，380kW，要求配基础底板及相应连接螺栓，同时所配的基础底板的尺寸，中标方应派技术人员至现场进行测绘，保证所加工的基础底板，与招标方的现有电机基础对接后，电机即能与负荷侧泵体匹配，无缝对接，招标方无需再对现有基础进行改动。</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具体详见附件1《福建省青山纸业股份有限公司热电厂6kV三相异步电动机技术规范书》。</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备注：本招标文件及其附件中所提及的品牌均为参考品牌。投标人可以直接选用参考品牌中的一种，也可以自行另选品牌，但所选的品牌品质（品牌知名度、技术标准和质量等级）应当相当于或不低于参考品牌，否则，其投标将被拒绝。】</w:t>
      </w:r>
    </w:p>
    <w:p>
      <w:pPr>
        <w:spacing w:line="400" w:lineRule="exact"/>
        <w:ind w:firstLine="482" w:firstLineChars="200"/>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spacing w:line="400" w:lineRule="exact"/>
        <w:ind w:firstLine="480" w:firstLineChars="200"/>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4.1交货时间：投标时注明最短交货期。</w:t>
      </w:r>
    </w:p>
    <w:p>
      <w:pPr>
        <w:spacing w:line="400" w:lineRule="exact"/>
        <w:ind w:firstLine="480" w:firstLineChars="200"/>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4.2交货地点：福建省三明市沙县区青州镇福建省青山纸业股份有限公司设备库或指定生产区域内。</w:t>
      </w:r>
    </w:p>
    <w:p>
      <w:pPr>
        <w:spacing w:line="400" w:lineRule="exact"/>
        <w:ind w:firstLine="482" w:firstLineChars="200"/>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.对投标人资格要求</w:t>
      </w:r>
    </w:p>
    <w:p>
      <w:pPr>
        <w:spacing w:line="400" w:lineRule="exact"/>
        <w:ind w:firstLine="480" w:firstLineChars="200"/>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5</w:t>
      </w:r>
      <w:r>
        <w:rPr>
          <w:rFonts w:hint="eastAsia" w:ascii="Times New Roman" w:hAnsi="Times New Roman" w:eastAsia="宋体"/>
          <w:b w:val="0"/>
          <w:bCs w:val="0"/>
          <w:color w:val="auto"/>
          <w:sz w:val="24"/>
          <w:szCs w:val="24"/>
          <w:lang w:eastAsia="zh-CN"/>
        </w:rPr>
        <w:t>.1投标人应是具有独立法人资格、有能力提供货物及服务、信用良好的国内企业。</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5.2非生产单位投标必须出具生产单位的代理证书或项目授权书。</w:t>
      </w:r>
    </w:p>
    <w:p>
      <w:pPr>
        <w:spacing w:line="400" w:lineRule="exact"/>
        <w:ind w:firstLine="482"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6.双方职责</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6.1中标方负责设备的运输，凡设备到招标方之前所产生的费用及意外损失由中标方负责承担。</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6.2中标方对其所供标的物的质量、性能和运行可靠性负责。</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6.3招标方根据合同要求及标的物的使用情况履行相关义务。</w:t>
      </w:r>
    </w:p>
    <w:p>
      <w:pPr>
        <w:spacing w:line="400" w:lineRule="exact"/>
        <w:ind w:firstLine="480" w:firstLineChars="200"/>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6.4按《招投标法》、《中华人民共和国民法典》等相关法律法规执行。</w:t>
      </w:r>
    </w:p>
    <w:p>
      <w:pPr>
        <w:spacing w:line="400" w:lineRule="exact"/>
        <w:ind w:firstLine="482" w:firstLineChars="200"/>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.质量保证</w:t>
      </w:r>
    </w:p>
    <w:p>
      <w:pPr>
        <w:spacing w:line="400" w:lineRule="exact"/>
        <w:ind w:firstLine="480" w:firstLineChars="200"/>
        <w:rPr>
          <w:rFonts w:hint="eastAsia" w:ascii="Times New Roman" w:hAnsi="Times New Roman" w:eastAsia="宋体"/>
          <w:b w:val="0"/>
          <w:bCs/>
          <w:color w:val="auto"/>
          <w:sz w:val="24"/>
          <w:szCs w:val="24"/>
        </w:rPr>
      </w:pPr>
      <w:r>
        <w:rPr>
          <w:rFonts w:hint="eastAsia" w:ascii="Times New Roman" w:hAnsi="Times New Roman" w:eastAsia="宋体"/>
          <w:b w:val="0"/>
          <w:bCs/>
          <w:color w:val="auto"/>
          <w:sz w:val="24"/>
          <w:szCs w:val="24"/>
          <w:lang w:val="en-US" w:eastAsia="zh-CN"/>
        </w:rPr>
        <w:t>7</w:t>
      </w:r>
      <w:r>
        <w:rPr>
          <w:rFonts w:hint="eastAsia" w:ascii="Times New Roman" w:hAnsi="Times New Roman" w:eastAsia="宋体"/>
          <w:b w:val="0"/>
          <w:bCs/>
          <w:color w:val="auto"/>
          <w:sz w:val="24"/>
          <w:szCs w:val="24"/>
        </w:rPr>
        <w:t>.1质量保证期为自设备验收合格之日起12个月或货到18个月（以时间先到为准），投标人可承诺更长的质保期。</w:t>
      </w:r>
    </w:p>
    <w:p>
      <w:pPr>
        <w:spacing w:line="400" w:lineRule="exact"/>
        <w:ind w:firstLine="480" w:firstLineChars="200"/>
        <w:rPr>
          <w:rFonts w:ascii="Times New Roman" w:hAnsi="Times New Roman" w:eastAsia="宋体"/>
          <w:bCs/>
          <w:color w:val="auto"/>
          <w:sz w:val="24"/>
          <w:szCs w:val="24"/>
        </w:rPr>
      </w:pPr>
      <w:r>
        <w:rPr>
          <w:rFonts w:hint="eastAsia" w:ascii="Times New Roman" w:hAnsi="Times New Roman" w:eastAsia="宋体"/>
          <w:b w:val="0"/>
          <w:bCs/>
          <w:color w:val="auto"/>
          <w:sz w:val="24"/>
          <w:szCs w:val="24"/>
          <w:lang w:val="en-US" w:eastAsia="zh-CN"/>
        </w:rPr>
        <w:t>7.2质量保证期内非买方原因引起的质量问题，中标方负责无偿返修，中标方未在买方规定的时间内返修，招标方有权选择其它供应商进行返修，返修费用由中标方承担</w:t>
      </w:r>
      <w:r>
        <w:rPr>
          <w:rFonts w:hint="eastAsia" w:ascii="Times New Roman" w:hAnsi="Times New Roman" w:eastAsia="宋体"/>
          <w:b w:val="0"/>
          <w:bCs/>
          <w:color w:val="auto"/>
          <w:sz w:val="24"/>
          <w:szCs w:val="24"/>
        </w:rPr>
        <w:t>。</w:t>
      </w:r>
    </w:p>
    <w:p>
      <w:pPr>
        <w:spacing w:line="400" w:lineRule="exact"/>
        <w:ind w:firstLine="482" w:firstLineChars="200"/>
        <w:rPr>
          <w:rFonts w:hint="default" w:ascii="Times New Roman" w:hAnsi="Times New Roman" w:eastAsia="宋体"/>
          <w:b w:val="0"/>
          <w:bCs/>
          <w:color w:val="auto"/>
          <w:sz w:val="24"/>
          <w:szCs w:val="24"/>
          <w:lang w:val="en-US" w:eastAsia="zh-CN"/>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.付款方式</w:t>
      </w:r>
      <w:r>
        <w:rPr>
          <w:rFonts w:hint="eastAsia" w:ascii="Times New Roman" w:hAnsi="Times New Roman" w:eastAsia="宋体"/>
          <w:b/>
          <w:color w:val="auto"/>
          <w:sz w:val="24"/>
          <w:szCs w:val="24"/>
          <w:lang w:eastAsia="zh-CN"/>
        </w:rPr>
        <w:t>：</w:t>
      </w:r>
      <w:r>
        <w:rPr>
          <w:rFonts w:hint="eastAsia" w:ascii="Times New Roman" w:hAnsi="Times New Roman" w:eastAsia="宋体"/>
          <w:b w:val="0"/>
          <w:bCs/>
          <w:color w:val="auto"/>
          <w:sz w:val="24"/>
          <w:szCs w:val="24"/>
          <w:lang w:eastAsia="zh-CN"/>
        </w:rPr>
        <w:t>不支付预付款，验收合格后，招标人财务部收到全额13%增值税专用发票45天支付总合同价的90%（银行承兑汇票）；质保金为总合同价的10</w:t>
      </w:r>
      <w:r>
        <w:rPr>
          <w:rFonts w:hint="eastAsia" w:ascii="Times New Roman" w:hAnsi="Times New Roman" w:eastAsia="宋体"/>
          <w:b w:val="0"/>
          <w:bCs/>
          <w:color w:val="auto"/>
          <w:sz w:val="24"/>
          <w:szCs w:val="24"/>
          <w:lang w:val="en-US" w:eastAsia="zh-CN"/>
        </w:rPr>
        <w:t>%</w:t>
      </w:r>
      <w:r>
        <w:rPr>
          <w:rFonts w:hint="eastAsia" w:ascii="Times New Roman" w:hAnsi="Times New Roman" w:eastAsia="宋体"/>
          <w:b w:val="0"/>
          <w:bCs/>
          <w:color w:val="auto"/>
          <w:sz w:val="24"/>
          <w:szCs w:val="24"/>
          <w:lang w:eastAsia="zh-CN"/>
        </w:rPr>
        <w:t>，在质保期满后三十天内付清，质保金不计利息。</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.报价规定</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9.1</w:t>
      </w:r>
      <w:r>
        <w:rPr>
          <w:rFonts w:ascii="Times New Roman" w:hAnsi="Times New Roman" w:eastAsia="宋体"/>
          <w:color w:val="auto"/>
          <w:sz w:val="24"/>
          <w:szCs w:val="24"/>
        </w:rPr>
        <w:t>本次招标采取一次性报价方式。</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2报价为含13%增值税到厂价，</w:t>
      </w:r>
      <w:r>
        <w:rPr>
          <w:rFonts w:hint="eastAsia" w:ascii="Times New Roman" w:hAnsi="Times New Roman" w:eastAsia="宋体"/>
          <w:color w:val="auto"/>
          <w:sz w:val="24"/>
          <w:szCs w:val="24"/>
        </w:rPr>
        <w:t>以一票制方式结算。</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.评标办法</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1"/>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当AG＞1.1AD时，F=50-（A- AD）÷（AG- AD）×6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当AG≤1.1AD时，F=50-（A- AD）÷AD×30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40</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w:t>
            </w:r>
            <w:r>
              <w:rPr>
                <w:rFonts w:hint="default" w:ascii="Times New Roman" w:hAnsi="Times New Roman" w:eastAsia="宋体" w:cs="Times New Roman"/>
                <w:color w:val="auto"/>
                <w:kern w:val="0"/>
                <w:szCs w:val="21"/>
                <w:lang w:val="en-US" w:eastAsia="zh-CN"/>
              </w:rPr>
              <w:t>设备和附件满足招标文件要求的程度：15分；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w:t>
            </w:r>
            <w:r>
              <w:rPr>
                <w:rFonts w:hint="default" w:ascii="Times New Roman" w:hAnsi="Times New Roman" w:eastAsia="宋体" w:cs="Times New Roman"/>
                <w:color w:val="auto"/>
                <w:kern w:val="0"/>
                <w:szCs w:val="21"/>
                <w:lang w:val="en-US" w:eastAsia="zh-CN"/>
              </w:rPr>
              <w:t>技术性能、制造水平及产品特点：25分；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w:t>
            </w:r>
            <w:r>
              <w:rPr>
                <w:rFonts w:hint="default" w:ascii="Times New Roman" w:hAnsi="Times New Roman" w:eastAsia="宋体" w:cs="Times New Roman"/>
                <w:color w:val="auto"/>
                <w:kern w:val="0"/>
                <w:szCs w:val="21"/>
                <w:lang w:val="en-US" w:eastAsia="zh-CN"/>
              </w:rPr>
              <w:t>不满足设备规格及技术要求的，按废标处理。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eastAsia="zh-CN"/>
              </w:rPr>
              <w:t>①</w:t>
            </w:r>
            <w:r>
              <w:rPr>
                <w:rFonts w:hint="eastAsia" w:ascii="Times New Roman" w:hAnsi="Times New Roman" w:eastAsia="宋体" w:cs="Times New Roman"/>
                <w:color w:val="auto"/>
                <w:kern w:val="0"/>
                <w:szCs w:val="21"/>
                <w:lang w:val="en-US" w:eastAsia="zh-CN"/>
              </w:rPr>
              <w:t>品牌业绩：2分；1分/份合同（以三年内合同复印件为准），封顶2分；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val="en-US" w:eastAsia="zh-CN"/>
              </w:rPr>
              <w:t>②售后服务：3分。根据投标人的响应情况进行打分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val="en-US" w:eastAsia="zh-CN"/>
              </w:rPr>
              <w:t>5分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根据各投标人对付款方式的响应情况进行打分。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①接受承兑汇票得1分，不接受的得0分；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②接受质保金得1分，不接受的得0分；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③预付方式3分。按照预付款比例相应扣分。</w:t>
            </w:r>
          </w:p>
        </w:tc>
      </w:tr>
    </w:tbl>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.开标时间、地点及参与方式</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26</w:t>
      </w:r>
      <w:r>
        <w:rPr>
          <w:rFonts w:ascii="Times New Roman" w:hAnsi="Times New Roman" w:eastAsia="宋体"/>
          <w:color w:val="auto"/>
          <w:sz w:val="24"/>
          <w:szCs w:val="24"/>
        </w:rPr>
        <w:t>日</w:t>
      </w:r>
      <w:r>
        <w:rPr>
          <w:rFonts w:hint="eastAsia" w:ascii="Times New Roman" w:hAnsi="Times New Roman" w:eastAsia="宋体"/>
          <w:color w:val="auto"/>
          <w:sz w:val="24"/>
          <w:szCs w:val="24"/>
        </w:rPr>
        <w:t>1</w:t>
      </w:r>
      <w:r>
        <w:rPr>
          <w:rFonts w:hint="eastAsia" w:ascii="Times New Roman" w:hAnsi="Times New Roman"/>
          <w:color w:val="auto"/>
          <w:sz w:val="24"/>
          <w:szCs w:val="24"/>
          <w:lang w:val="en-US" w:eastAsia="zh-CN"/>
        </w:rPr>
        <w:t>0</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spacing w:line="400" w:lineRule="exact"/>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.2参与方式：</w:t>
      </w:r>
      <w:r>
        <w:rPr>
          <w:rFonts w:hint="eastAsia" w:ascii="Times New Roman" w:hAnsi="Times New Roman" w:eastAsia="宋体"/>
          <w:color w:val="auto"/>
          <w:sz w:val="24"/>
          <w:szCs w:val="24"/>
          <w:lang w:eastAsia="zh-CN"/>
        </w:rPr>
        <w:t>（以下三种参与方式投标人可任选一种）</w:t>
      </w:r>
    </w:p>
    <w:p>
      <w:pPr>
        <w:spacing w:line="400" w:lineRule="exact"/>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w:t>
      </w:r>
      <w:r>
        <w:rPr>
          <w:rFonts w:hint="eastAsia" w:ascii="Times New Roman" w:hAnsi="Times New Roman" w:eastAsia="宋体"/>
          <w:color w:val="auto"/>
          <w:sz w:val="24"/>
          <w:szCs w:val="24"/>
        </w:rPr>
        <w:t>1</w:t>
      </w:r>
      <w:r>
        <w:rPr>
          <w:rFonts w:ascii="Times New Roman" w:hAnsi="Times New Roman" w:eastAsia="宋体"/>
          <w:color w:val="auto"/>
          <w:sz w:val="24"/>
          <w:szCs w:val="24"/>
        </w:rPr>
        <w:t>现场：参与现场投标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投标人应于开标之前将投标文件送至青山纸业文化楼4楼招标办会议室。</w:t>
      </w:r>
      <w:r>
        <w:rPr>
          <w:rFonts w:hint="eastAsia" w:ascii="Times New Roman" w:hAnsi="Times New Roman" w:eastAsia="宋体"/>
          <w:color w:val="000000" w:themeColor="text1"/>
          <w:sz w:val="24"/>
          <w:szCs w:val="24"/>
          <w:u w:val="none"/>
          <w14:textFill>
            <w14:solidFill>
              <w14:schemeClr w14:val="tx1"/>
            </w14:solidFill>
          </w14:textFill>
        </w:rPr>
        <w:t>到会议现场参加开标的投标人代表，须遵守沙县政府和本公司关于新冠肺炎疫情防控的相关规定，并出示绿色健康码（含疫苗接种情况</w:t>
      </w:r>
      <w:r>
        <w:rPr>
          <w:rFonts w:hint="eastAsia" w:ascii="Times New Roman" w:hAnsi="Times New Roman" w:eastAsia="宋体"/>
          <w:color w:val="000000" w:themeColor="text1"/>
          <w:sz w:val="24"/>
          <w:szCs w:val="24"/>
          <w:u w:val="none"/>
          <w:lang w:eastAsia="zh-CN"/>
          <w14:textFill>
            <w14:solidFill>
              <w14:schemeClr w14:val="tx1"/>
            </w14:solidFill>
          </w14:textFill>
        </w:rPr>
        <w:t>、</w:t>
      </w:r>
      <w:r>
        <w:rPr>
          <w:rFonts w:hint="eastAsia" w:ascii="Times New Roman" w:hAnsi="Times New Roman" w:eastAsia="宋体"/>
          <w:color w:val="000000" w:themeColor="text1"/>
          <w:sz w:val="24"/>
          <w:szCs w:val="24"/>
          <w:u w:val="none"/>
          <w14:textFill>
            <w14:solidFill>
              <w14:schemeClr w14:val="tx1"/>
            </w14:solidFill>
          </w14:textFill>
        </w:rPr>
        <w:t>行程卡）</w:t>
      </w:r>
      <w:r>
        <w:rPr>
          <w:rFonts w:hint="eastAsia" w:ascii="Times New Roman" w:hAnsi="Times New Roman" w:eastAsia="宋体"/>
          <w:color w:val="000000" w:themeColor="text1"/>
          <w:sz w:val="24"/>
          <w:szCs w:val="24"/>
          <w:u w:val="none"/>
          <w:lang w:eastAsia="zh-CN"/>
          <w14:textFill>
            <w14:solidFill>
              <w14:schemeClr w14:val="tx1"/>
            </w14:solidFill>
          </w14:textFill>
        </w:rPr>
        <w:t>。福建省外来此人员还需持有48小时内的核酸检测报告。</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.2.2邮寄：以邮寄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spacing w:line="400" w:lineRule="exact"/>
        <w:ind w:firstLine="480" w:firstLineChars="200"/>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11.2.3网络</w:t>
      </w:r>
      <w:r>
        <w:rPr>
          <w:rFonts w:hint="eastAsia" w:ascii="Times New Roman" w:hAnsi="Times New Roman" w:eastAsia="宋体"/>
          <w:color w:val="auto"/>
          <w:sz w:val="24"/>
          <w:szCs w:val="24"/>
          <w:lang w:val="en-US" w:eastAsia="zh-CN"/>
        </w:rPr>
        <w:t>：</w:t>
      </w:r>
      <w:r>
        <w:rPr>
          <w:rFonts w:hint="eastAsia" w:ascii="Times New Roman" w:hAnsi="Times New Roman" w:eastAsia="宋体"/>
          <w:sz w:val="24"/>
          <w:szCs w:val="24"/>
        </w:rPr>
        <w:t>在1688</w:t>
      </w:r>
      <w:r>
        <w:rPr>
          <w:rFonts w:hint="eastAsia" w:ascii="Times New Roman" w:hAnsi="Times New Roman" w:eastAsia="宋体"/>
          <w:sz w:val="24"/>
          <w:szCs w:val="24"/>
          <w:lang w:eastAsia="zh-CN"/>
        </w:rPr>
        <w:t>采购平台</w:t>
      </w:r>
      <w:r>
        <w:rPr>
          <w:rFonts w:hint="eastAsia" w:ascii="Times New Roman" w:hAnsi="Times New Roman" w:eastAsia="宋体"/>
          <w:sz w:val="24"/>
          <w:szCs w:val="24"/>
        </w:rPr>
        <w:fldChar w:fldCharType="begin"/>
      </w:r>
      <w:r>
        <w:rPr>
          <w:rFonts w:hint="eastAsia" w:ascii="Times New Roman" w:hAnsi="Times New Roman" w:eastAsia="宋体"/>
          <w:sz w:val="24"/>
          <w:szCs w:val="24"/>
        </w:rPr>
        <w:instrText xml:space="preserve"> HYPERLINK "https://fjqszy.go.1688.com" </w:instrText>
      </w:r>
      <w:r>
        <w:rPr>
          <w:rFonts w:hint="eastAsia" w:ascii="Times New Roman" w:hAnsi="Times New Roman" w:eastAsia="宋体"/>
          <w:sz w:val="24"/>
          <w:szCs w:val="24"/>
        </w:rPr>
        <w:fldChar w:fldCharType="separate"/>
      </w:r>
      <w:r>
        <w:rPr>
          <w:rStyle w:val="10"/>
          <w:rFonts w:hint="eastAsia" w:ascii="Times New Roman" w:hAnsi="Times New Roman" w:eastAsia="宋体"/>
          <w:sz w:val="24"/>
          <w:szCs w:val="24"/>
        </w:rPr>
        <w:t>https://fjqszy.go.1688.com</w:t>
      </w:r>
      <w:r>
        <w:rPr>
          <w:rFonts w:hint="eastAsia" w:ascii="Times New Roman" w:hAnsi="Times New Roman" w:eastAsia="宋体"/>
          <w:sz w:val="24"/>
          <w:szCs w:val="24"/>
        </w:rPr>
        <w:fldChar w:fldCharType="end"/>
      </w:r>
      <w:r>
        <w:rPr>
          <w:rFonts w:hint="eastAsia" w:ascii="Times New Roman" w:hAnsi="Times New Roman" w:eastAsia="宋体"/>
          <w:sz w:val="24"/>
          <w:szCs w:val="24"/>
        </w:rPr>
        <w:t>或福建省国资采购平台</w:t>
      </w:r>
      <w:r>
        <w:rPr>
          <w:rFonts w:hint="eastAsia" w:ascii="Times New Roman" w:hAnsi="Times New Roman" w:eastAsia="宋体"/>
          <w:sz w:val="24"/>
          <w:szCs w:val="24"/>
        </w:rPr>
        <w:fldChar w:fldCharType="begin"/>
      </w:r>
      <w:r>
        <w:rPr>
          <w:rFonts w:hint="eastAsia" w:ascii="Times New Roman" w:hAnsi="Times New Roman" w:eastAsia="宋体"/>
          <w:sz w:val="24"/>
          <w:szCs w:val="24"/>
        </w:rPr>
        <w:instrText xml:space="preserve"> HYPERLINK "https://ygcg.fjcqjy.com" </w:instrText>
      </w:r>
      <w:r>
        <w:rPr>
          <w:rFonts w:hint="eastAsia" w:ascii="Times New Roman" w:hAnsi="Times New Roman" w:eastAsia="宋体"/>
          <w:sz w:val="24"/>
          <w:szCs w:val="24"/>
        </w:rPr>
        <w:fldChar w:fldCharType="separate"/>
      </w:r>
      <w:r>
        <w:rPr>
          <w:rStyle w:val="10"/>
          <w:rFonts w:hint="eastAsia" w:ascii="Times New Roman" w:hAnsi="Times New Roman" w:eastAsia="宋体"/>
          <w:sz w:val="24"/>
          <w:szCs w:val="24"/>
        </w:rPr>
        <w:t>https://ygcg.fjcqjy.com</w:t>
      </w:r>
      <w:r>
        <w:rPr>
          <w:rFonts w:hint="eastAsia" w:ascii="Times New Roman" w:hAnsi="Times New Roman" w:eastAsia="宋体"/>
          <w:sz w:val="24"/>
          <w:szCs w:val="24"/>
        </w:rPr>
        <w:fldChar w:fldCharType="end"/>
      </w:r>
      <w:r>
        <w:rPr>
          <w:rFonts w:hint="eastAsia" w:ascii="Times New Roman" w:hAnsi="Times New Roman" w:eastAsia="宋体"/>
          <w:sz w:val="24"/>
          <w:szCs w:val="24"/>
        </w:rPr>
        <w:t>上参与投标的，应按招标文件的要求制作投标文件后扫描上传至1688采购平台，投标保证金凭证、资格文件、技术文件、商务文件分别扫描上传。</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.投标及履约保证金</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highlight w:val="none"/>
          <w:lang w:val="en-US" w:eastAsia="zh-CN"/>
        </w:rPr>
        <w:t>4000</w:t>
      </w:r>
      <w:r>
        <w:rPr>
          <w:rFonts w:ascii="Times New Roman" w:hAnsi="Times New Roman" w:eastAsia="宋体"/>
          <w:color w:val="auto"/>
          <w:sz w:val="24"/>
          <w:szCs w:val="24"/>
        </w:rPr>
        <w:t>元。</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.2投标保证金任选如下一种形式提交：</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.2.1银行电汇；（开户银行：工商银行沙县青州支行、账户名：福建省青山纸业股份有限公司、账号：1404049409001000160。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.2.2投标保证金函；若本公司与投标人尚有</w:t>
      </w:r>
      <w:r>
        <w:rPr>
          <w:rFonts w:hint="eastAsia" w:ascii="Times New Roman" w:hAnsi="Times New Roman" w:eastAsia="宋体"/>
          <w:b w:val="0"/>
          <w:bCs w:val="0"/>
          <w:color w:val="auto"/>
          <w:sz w:val="24"/>
          <w:szCs w:val="24"/>
          <w:lang w:eastAsia="zh-CN"/>
        </w:rPr>
        <w:t>到期应付</w:t>
      </w:r>
      <w:r>
        <w:rPr>
          <w:rFonts w:ascii="Times New Roman" w:hAnsi="Times New Roman" w:eastAsia="宋体"/>
          <w:color w:val="auto"/>
          <w:sz w:val="24"/>
          <w:szCs w:val="24"/>
        </w:rPr>
        <w:t>未结清货款（各类未到期的保证金除外）且数额足够抵扣投标保证金时，投标人可出具正式公函明确要求本公司从其未结货款中转扣</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.3对于未能按规定提交投标保证金的投标，将被视为不响应招标文件而予以拒绝。</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.5中标的投标人的投标保证金，将在中标人签订合同时转为履约保证金，合同按时履行完毕后予以原额退还，以未结货款转抵形式的将转回未结货款并按正常渠道结算。</w:t>
      </w:r>
    </w:p>
    <w:p>
      <w:pPr>
        <w:spacing w:line="400" w:lineRule="exact"/>
        <w:ind w:firstLine="482" w:firstLineChars="200"/>
        <w:rPr>
          <w:rFonts w:ascii="Times New Roman" w:hAnsi="Times New Roman" w:eastAsia="宋体"/>
          <w:color w:val="auto"/>
          <w:sz w:val="24"/>
          <w:szCs w:val="24"/>
        </w:rPr>
      </w:pPr>
      <w:r>
        <w:rPr>
          <w:rFonts w:ascii="Times New Roman" w:hAnsi="Times New Roman" w:eastAsia="宋体"/>
          <w:b/>
          <w:bCs/>
          <w:color w:val="auto"/>
          <w:sz w:val="24"/>
          <w:szCs w:val="24"/>
        </w:rPr>
        <w:t>1</w:t>
      </w:r>
      <w:r>
        <w:rPr>
          <w:rFonts w:hint="eastAsia" w:ascii="Times New Roman" w:hAnsi="Times New Roman" w:eastAsia="宋体"/>
          <w:b/>
          <w:bCs/>
          <w:color w:val="auto"/>
          <w:sz w:val="24"/>
          <w:szCs w:val="24"/>
          <w:lang w:val="en-US" w:eastAsia="zh-CN"/>
        </w:rPr>
        <w:t>2</w:t>
      </w:r>
      <w:r>
        <w:rPr>
          <w:rFonts w:ascii="Times New Roman" w:hAnsi="Times New Roman" w:eastAsia="宋体"/>
          <w:b/>
          <w:bCs/>
          <w:color w:val="auto"/>
          <w:sz w:val="24"/>
          <w:szCs w:val="24"/>
        </w:rPr>
        <w:t>.6如投标人有下列情况发生时，其投标保证金将被不予退还</w:t>
      </w:r>
      <w:r>
        <w:rPr>
          <w:rFonts w:ascii="Times New Roman" w:hAnsi="Times New Roman" w:eastAsia="宋体"/>
          <w:color w:val="auto"/>
          <w:sz w:val="24"/>
          <w:szCs w:val="24"/>
        </w:rPr>
        <w:t>：</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.6.1投标人在投标有效期内撤回投标的；</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.6.4其他违反法律规定的。</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spacing w:line="400" w:lineRule="exact"/>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13.1.1投标保证金凭证：银行电汇回单或投标保证金函。</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w:t>
      </w:r>
      <w:r>
        <w:rPr>
          <w:rFonts w:hint="eastAsia" w:ascii="Times New Roman" w:hAnsi="Times New Roman" w:eastAsia="宋体"/>
          <w:b/>
          <w:bCs/>
          <w:color w:val="auto"/>
          <w:sz w:val="24"/>
          <w:szCs w:val="24"/>
          <w:lang w:eastAsia="zh-CN"/>
        </w:rPr>
        <w:t>（必须有产品的型号、参数配置、外形尺寸安装图以及能效等级等详细描述）</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；d.</w:t>
      </w:r>
      <w:r>
        <w:rPr>
          <w:rFonts w:hint="eastAsia" w:ascii="Times New Roman" w:hAnsi="Times New Roman" w:eastAsia="宋体"/>
          <w:color w:val="auto"/>
          <w:sz w:val="24"/>
          <w:szCs w:val="24"/>
          <w:lang w:eastAsia="zh-CN"/>
        </w:rPr>
        <w:t>投标人三年内相类似的销售</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spacing w:line="400" w:lineRule="exact"/>
        <w:ind w:firstLine="482" w:firstLineChars="200"/>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.发布招标公告</w:t>
      </w:r>
      <w:r>
        <w:rPr>
          <w:rFonts w:hint="eastAsia" w:ascii="Times New Roman" w:hAnsi="Times New Roman"/>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福建省青山纸业股份有限公司网站</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0"/>
          <w:rFonts w:hint="eastAsia" w:ascii="Times New Roman" w:hAnsi="Times New Roman" w:eastAsia="宋体" w:cs="Times New Roman"/>
          <w:color w:val="auto"/>
          <w:sz w:val="24"/>
          <w:szCs w:val="24"/>
          <w:u w:val="none"/>
          <w:shd w:val="clear" w:color="auto" w:fill="FFFFFF"/>
          <w:lang w:eastAsia="zh-CN"/>
        </w:rPr>
        <w:fldChar w:fldCharType="begin"/>
      </w:r>
      <w:r>
        <w:rPr>
          <w:rStyle w:val="10"/>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0"/>
          <w:rFonts w:hint="eastAsia" w:ascii="Times New Roman" w:hAnsi="Times New Roman" w:eastAsia="宋体" w:cs="Times New Roman"/>
          <w:color w:val="auto"/>
          <w:sz w:val="24"/>
          <w:szCs w:val="24"/>
          <w:u w:val="none"/>
          <w:shd w:val="clear" w:color="auto" w:fill="FFFFFF"/>
          <w:lang w:eastAsia="zh-CN"/>
        </w:rPr>
        <w:fldChar w:fldCharType="separate"/>
      </w:r>
      <w:r>
        <w:rPr>
          <w:rStyle w:val="10"/>
          <w:rFonts w:hint="eastAsia" w:ascii="Times New Roman" w:hAnsi="Times New Roman" w:eastAsia="宋体" w:cs="Times New Roman"/>
          <w:sz w:val="24"/>
          <w:szCs w:val="24"/>
          <w:shd w:val="clear" w:color="auto" w:fill="FFFFFF"/>
          <w:lang w:eastAsia="zh-CN"/>
        </w:rPr>
        <w:t>www.fjqfkg.com</w:t>
      </w:r>
      <w:r>
        <w:rPr>
          <w:rStyle w:val="10"/>
          <w:rFonts w:hint="eastAsia" w:ascii="Times New Roman" w:hAnsi="Times New Roman" w:eastAsia="宋体" w:cs="Times New Roman"/>
          <w:color w:val="auto"/>
          <w:sz w:val="24"/>
          <w:szCs w:val="24"/>
          <w:u w:val="none"/>
          <w:shd w:val="clear" w:color="auto" w:fill="FFFFFF"/>
          <w:lang w:eastAsia="zh-CN"/>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1688采购门户网址</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16.</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技术联系人：李工13806974034</w:t>
      </w:r>
    </w:p>
    <w:p>
      <w:pPr>
        <w:spacing w:line="400" w:lineRule="exact"/>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设备部：</w:t>
      </w:r>
      <w:r>
        <w:rPr>
          <w:rFonts w:hint="eastAsia" w:ascii="Times New Roman" w:hAnsi="Times New Roman" w:eastAsia="宋体"/>
          <w:color w:val="auto"/>
          <w:sz w:val="24"/>
          <w:szCs w:val="24"/>
          <w:lang w:eastAsia="zh-CN"/>
        </w:rPr>
        <w:t>杨工</w:t>
      </w:r>
      <w:r>
        <w:rPr>
          <w:rFonts w:hint="eastAsia" w:ascii="Times New Roman" w:hAnsi="Times New Roman" w:eastAsia="宋体"/>
          <w:color w:val="auto"/>
          <w:sz w:val="24"/>
          <w:szCs w:val="24"/>
        </w:rPr>
        <w:t>0598-5655019</w:t>
      </w:r>
    </w:p>
    <w:p>
      <w:pPr>
        <w:spacing w:line="400" w:lineRule="exact"/>
        <w:ind w:firstLine="480" w:firstLineChars="200"/>
        <w:rPr>
          <w:rFonts w:hint="eastAsia" w:ascii="Times New Roman" w:hAnsi="Times New Roman" w:eastAsia="宋体"/>
          <w:color w:val="auto"/>
          <w:sz w:val="24"/>
          <w:szCs w:val="24"/>
        </w:rPr>
      </w:pPr>
    </w:p>
    <w:p>
      <w:pPr>
        <w:spacing w:line="400" w:lineRule="exact"/>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：福建省青山纸业股份有限公司热电厂6kV三相异步电动机技术规范书</w:t>
      </w:r>
    </w:p>
    <w:p>
      <w:pPr>
        <w:spacing w:line="400" w:lineRule="exact"/>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JS158-8与YXKK450-8电机尺寸比较说明</w:t>
      </w:r>
    </w:p>
    <w:p>
      <w:pPr>
        <w:spacing w:line="400" w:lineRule="exact"/>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法定代表人授权书（格</w:t>
      </w:r>
      <w:bookmarkStart w:id="0" w:name="_GoBack"/>
      <w:bookmarkEnd w:id="0"/>
      <w:r>
        <w:rPr>
          <w:rFonts w:hint="eastAsia" w:ascii="Times New Roman" w:hAnsi="Times New Roman" w:eastAsia="宋体"/>
          <w:color w:val="auto"/>
          <w:sz w:val="24"/>
          <w:szCs w:val="24"/>
        </w:rPr>
        <w:t>式）</w:t>
      </w:r>
    </w:p>
    <w:p>
      <w:pPr>
        <w:spacing w:line="400" w:lineRule="exact"/>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注：附件1、2，有意向参与投标的单位可联系招标办获取。</w:t>
      </w:r>
    </w:p>
    <w:p>
      <w:pPr>
        <w:spacing w:line="400" w:lineRule="exact"/>
        <w:ind w:firstLine="480" w:firstLineChars="200"/>
        <w:rPr>
          <w:rFonts w:hint="eastAsia" w:ascii="Times New Roman" w:hAnsi="Times New Roman" w:eastAsia="宋体"/>
          <w:color w:val="auto"/>
          <w:sz w:val="24"/>
          <w:szCs w:val="24"/>
          <w:lang w:val="en-US" w:eastAsia="zh-CN"/>
        </w:rPr>
      </w:pPr>
    </w:p>
    <w:p>
      <w:pPr>
        <w:spacing w:line="400" w:lineRule="exact"/>
        <w:ind w:firstLine="480" w:firstLineChars="200"/>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21</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spacing w:line="400" w:lineRule="exact"/>
        <w:rPr>
          <w:rFonts w:ascii="Times New Roman" w:hAnsi="Times New Roman" w:eastAsia="宋体"/>
          <w:bCs/>
          <w:color w:val="auto"/>
          <w:sz w:val="24"/>
          <w:szCs w:val="24"/>
        </w:rPr>
      </w:pPr>
    </w:p>
    <w:p>
      <w:pPr>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3</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2SB292C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2B4F28"/>
    <w:rsid w:val="05695BD0"/>
    <w:rsid w:val="05871BB5"/>
    <w:rsid w:val="06DE03E2"/>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6A33A8B"/>
    <w:rsid w:val="17E62151"/>
    <w:rsid w:val="19CF43E9"/>
    <w:rsid w:val="19D304ED"/>
    <w:rsid w:val="1A413D1B"/>
    <w:rsid w:val="1C857027"/>
    <w:rsid w:val="1D1A1A49"/>
    <w:rsid w:val="1F570C40"/>
    <w:rsid w:val="1FDC0B0B"/>
    <w:rsid w:val="1FF477CC"/>
    <w:rsid w:val="20287CB8"/>
    <w:rsid w:val="21F72B38"/>
    <w:rsid w:val="22A1546C"/>
    <w:rsid w:val="24C550DC"/>
    <w:rsid w:val="24CA313E"/>
    <w:rsid w:val="26A9561F"/>
    <w:rsid w:val="2ACE7F9E"/>
    <w:rsid w:val="2BC45956"/>
    <w:rsid w:val="2C525A9B"/>
    <w:rsid w:val="2D6E3876"/>
    <w:rsid w:val="2D91433C"/>
    <w:rsid w:val="2EA81856"/>
    <w:rsid w:val="2EF954E0"/>
    <w:rsid w:val="301B3B01"/>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571F9B"/>
    <w:rsid w:val="485A1FE6"/>
    <w:rsid w:val="494848CE"/>
    <w:rsid w:val="4ACF470A"/>
    <w:rsid w:val="50635474"/>
    <w:rsid w:val="510D00AA"/>
    <w:rsid w:val="55867334"/>
    <w:rsid w:val="574E15B7"/>
    <w:rsid w:val="5D785372"/>
    <w:rsid w:val="5DAE499A"/>
    <w:rsid w:val="5F194A83"/>
    <w:rsid w:val="5F6F0FB4"/>
    <w:rsid w:val="610928EA"/>
    <w:rsid w:val="62A84C8F"/>
    <w:rsid w:val="63A30CC0"/>
    <w:rsid w:val="655834F7"/>
    <w:rsid w:val="661C08AC"/>
    <w:rsid w:val="67157C63"/>
    <w:rsid w:val="674E2FFC"/>
    <w:rsid w:val="68E3273E"/>
    <w:rsid w:val="69CB5362"/>
    <w:rsid w:val="6AF32396"/>
    <w:rsid w:val="6B0726BC"/>
    <w:rsid w:val="6B773290"/>
    <w:rsid w:val="6D0F5985"/>
    <w:rsid w:val="701A7798"/>
    <w:rsid w:val="71E749FC"/>
    <w:rsid w:val="71F55825"/>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2022-12-21T00:40:39Z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