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default"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：厂区各临时堆放点垃圾清运（不包括绿色垃圾桶）</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数量、规模</w:t>
      </w:r>
      <w:r>
        <w:rPr>
          <w:rFonts w:hint="eastAsia" w:ascii="Times New Roman" w:hAnsi="Times New Roman" w:eastAsia="宋体"/>
          <w:b w:val="0"/>
          <w:bCs/>
          <w:color w:val="auto"/>
          <w:sz w:val="24"/>
          <w:szCs w:val="24"/>
          <w:lang w:eastAsia="zh-CN"/>
        </w:rPr>
        <w:t>：垃圾清运（不包括绿色垃圾桶）车数按实计算；由招标人生产部负责登记、统计厂区垃圾运输车数，每月5日前统计前一个月厂区垃圾清运车数报招标人财务部。</w:t>
      </w:r>
    </w:p>
    <w:p>
      <w:pPr>
        <w:spacing w:line="400" w:lineRule="exact"/>
        <w:ind w:firstLine="482" w:firstLineChars="200"/>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3.项目内容及要求</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3.1招标人厂区垃圾包括生活垃圾、建筑垃圾、工业垃圾及综合性垃圾等，不包括厂区内绿色垃圾桶内垃圾。</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中标人根据招标人生产部要求及时、足量清运厂区垃圾；招标人生产部将根据各临时垃圾堆放点情况提前1天（特殊情况除外）通知中标人予以清理；中标人无法及时、足量清理招标人厂区垃圾，招标人有权安排其他单位清运厂区垃圾，所产生费用与中标价的差价由中标人承担；中标人不及时清运厂区垃圾，招标人每次扣罚中标人2000元；中标人应服从招标人现场管理人员的统一管理和安排，中标人违反招标人规章制度的，按照招标人规章制度予以处理。</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3.3所清运垃圾须运至招标人指定垃圾堆放地点。</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3.4招标人垃圾临时堆放点具体的分布位置详见图纸。</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3.5中标人未按招标人指定地点倾倒垃圾而与其它单位、个人产生纠纷和法律责任或受到对方经济处罚，由中标人自行解决和承担。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3.6垃圾没有倒入指定的垃圾场按1000元/车的标准扣罚中标人，并且中标人需重新装车倒入指定的垃圾场，否则每超1天招标人将加扣300元，直至达到招标人的要求为止；</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3.7合同生效后，若中标人连续2个月的工作质量不能达到青山公司要求，招标人有权单方解除合同；中标人中途违约或单方终止合同，应赔偿招标人违约金1万元。</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3.8中标人自行装车、运输厂区垃圾，运输过程应采取必要的安全防护措施，安全责任由中标人自负。中标人应保持现场及运输路段整洁，必须把现场道路卫生及车辆清洗干净后方能上路。</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3.9中标人必须文明行驶车辆，不得损坏现场建筑物与设备，否则根据损坏程度加以赔偿。中标人对其所派及所聘人员应进行相关的安全教育，并接受招标人安全生产办公室的安全教育，遵守招标人的安全规章制度，对违规及自身原因造成的安全事故由中标人自行承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3.10投标人所聘用的作业人员必须符合国家相关法律法规，必须按规定参加工伤保险以及与投标作业相关的保险，中标人从业人员应相对固定，做好从业人员上岗前和任职期间安全培训工作。</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3.11中标人提供的运输车辆应符合招标方人力资源部的车辆要求。</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3.12中标人的运输车辆应相对固定，若车辆有变，容积变小的则按照大车容积(立方米)折算每车的运费。车辆变化应事先经生产部批准，并安排量方。</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项目时间及地点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4.1项目承包时间：2023年1月1日至2023年12月31日。</w:t>
      </w:r>
    </w:p>
    <w:p>
      <w:pPr>
        <w:spacing w:line="400" w:lineRule="exact"/>
        <w:ind w:firstLine="480" w:firstLineChars="200"/>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4.2项目地点：福建省三明市沙县青州镇福建省青山纸业股份有限公司指定区域内。</w:t>
      </w:r>
    </w:p>
    <w:p>
      <w:pPr>
        <w:spacing w:line="400" w:lineRule="exact"/>
        <w:ind w:firstLine="482"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r>
        <w:rPr>
          <w:rFonts w:hint="eastAsia" w:ascii="Times New Roman" w:hAnsi="Times New Roman" w:eastAsia="宋体"/>
          <w:b/>
          <w:color w:val="auto"/>
          <w:sz w:val="24"/>
          <w:szCs w:val="24"/>
          <w:lang w:eastAsia="zh-CN"/>
        </w:rPr>
        <w:t>：</w:t>
      </w:r>
      <w:r>
        <w:rPr>
          <w:rFonts w:hint="eastAsia" w:ascii="Times New Roman" w:hAnsi="Times New Roman" w:eastAsia="宋体"/>
          <w:b w:val="0"/>
          <w:bCs w:val="0"/>
          <w:color w:val="auto"/>
          <w:sz w:val="24"/>
          <w:szCs w:val="24"/>
          <w:lang w:eastAsia="zh-CN"/>
        </w:rPr>
        <w:t>投标人应是具备独立法人资格或被授权的分支机构、有能力提供服务、信用良好的国内企业，营业执照需具有货物装卸或道路运输资质。</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r>
        <w:rPr>
          <w:rFonts w:hint="eastAsia" w:ascii="Times New Roman" w:hAnsi="Times New Roman" w:eastAsia="宋体"/>
          <w:b/>
          <w:color w:val="auto"/>
          <w:sz w:val="24"/>
          <w:szCs w:val="24"/>
          <w:lang w:eastAsia="zh-CN"/>
        </w:rPr>
        <w:t>和结算方式</w:t>
      </w:r>
    </w:p>
    <w:p>
      <w:pPr>
        <w:spacing w:line="400" w:lineRule="exact"/>
        <w:ind w:firstLine="480" w:firstLineChars="200"/>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6.1付款方式：</w:t>
      </w:r>
      <w:r>
        <w:rPr>
          <w:rFonts w:hint="eastAsia" w:ascii="Times New Roman" w:hAnsi="Times New Roman" w:eastAsia="宋体"/>
          <w:b w:val="0"/>
          <w:bCs/>
          <w:color w:val="auto"/>
          <w:sz w:val="24"/>
          <w:szCs w:val="24"/>
          <w:lang w:eastAsia="zh-CN"/>
        </w:rPr>
        <w:t>青山公司财务部按月支付，即在第二个月15日以前向中标人支付前一个月运输费用，同时中标人必须出具含3%增值税专用发票，所出具的发票必须由招标人生产部签字认可。</w:t>
      </w:r>
    </w:p>
    <w:p>
      <w:pPr>
        <w:spacing w:line="400" w:lineRule="exact"/>
        <w:ind w:firstLine="480" w:firstLineChars="200"/>
        <w:rPr>
          <w:rFonts w:hint="default"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6.2结算方式：厂区垃圾运输费用（含税）＝当月运输车数×运费基准价×（1－K）。若人力资源部龙马车运输单价调整，从第二个月起按照新的单价作为基准价结算，中标人承诺的优惠率K值不变。</w:t>
      </w:r>
      <w:bookmarkStart w:id="0" w:name="_GoBack"/>
      <w:bookmarkEnd w:id="0"/>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7.1本项目以招标方人力资源部龙马车运输单价为基准价，投标人则以优惠率K值报价。车辆运费基准价如下：</w:t>
      </w:r>
    </w:p>
    <w:tbl>
      <w:tblPr>
        <w:tblStyle w:val="11"/>
        <w:tblW w:w="81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1035"/>
        <w:gridCol w:w="930"/>
        <w:gridCol w:w="945"/>
        <w:gridCol w:w="1896"/>
        <w:gridCol w:w="2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133"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规格</w:t>
            </w:r>
          </w:p>
        </w:tc>
        <w:tc>
          <w:tcPr>
            <w:tcW w:w="103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长(cm)</w:t>
            </w:r>
          </w:p>
        </w:tc>
        <w:tc>
          <w:tcPr>
            <w:tcW w:w="930"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宽(cm)</w:t>
            </w:r>
          </w:p>
        </w:tc>
        <w:tc>
          <w:tcPr>
            <w:tcW w:w="94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高(cm)</w:t>
            </w:r>
          </w:p>
        </w:tc>
        <w:tc>
          <w:tcPr>
            <w:tcW w:w="1896"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围栏内容积（m³）</w:t>
            </w:r>
          </w:p>
        </w:tc>
        <w:tc>
          <w:tcPr>
            <w:tcW w:w="2198"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运费</w:t>
            </w:r>
            <w:r>
              <w:rPr>
                <w:rFonts w:hint="eastAsia" w:ascii="Times New Roman" w:hAnsi="Times New Roman" w:eastAsia="宋体" w:cs="宋体"/>
                <w:sz w:val="21"/>
                <w:szCs w:val="21"/>
                <w:lang w:eastAsia="zh-CN"/>
              </w:rPr>
              <w:t>基准</w:t>
            </w:r>
            <w:r>
              <w:rPr>
                <w:rFonts w:hint="eastAsia" w:ascii="Times New Roman" w:hAnsi="Times New Roman" w:eastAsia="宋体" w:cs="宋体"/>
                <w:sz w:val="21"/>
                <w:szCs w:val="21"/>
              </w:rPr>
              <w:t>价</w:t>
            </w:r>
          </w:p>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(元</w:t>
            </w:r>
            <w:r>
              <w:rPr>
                <w:rFonts w:hint="eastAsia" w:ascii="Times New Roman" w:hAnsi="Times New Roman" w:eastAsia="宋体" w:cs="宋体"/>
                <w:sz w:val="21"/>
                <w:szCs w:val="21"/>
                <w:lang w:val="en-US" w:eastAsia="zh-CN"/>
              </w:rPr>
              <w:t>/车，含3%税</w:t>
            </w:r>
            <w:r>
              <w:rPr>
                <w:rFonts w:hint="eastAsia" w:ascii="Times New Roman" w:hAnsi="Times New Roman"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jc w:val="center"/>
        </w:trPr>
        <w:tc>
          <w:tcPr>
            <w:tcW w:w="1133"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大车</w:t>
            </w:r>
          </w:p>
        </w:tc>
        <w:tc>
          <w:tcPr>
            <w:tcW w:w="103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390</w:t>
            </w:r>
          </w:p>
        </w:tc>
        <w:tc>
          <w:tcPr>
            <w:tcW w:w="930"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210</w:t>
            </w:r>
          </w:p>
        </w:tc>
        <w:tc>
          <w:tcPr>
            <w:tcW w:w="945"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110</w:t>
            </w:r>
          </w:p>
        </w:tc>
        <w:tc>
          <w:tcPr>
            <w:tcW w:w="1896" w:type="dxa"/>
            <w:vAlign w:val="center"/>
          </w:tcPr>
          <w:p>
            <w:pPr>
              <w:spacing w:line="240" w:lineRule="auto"/>
              <w:jc w:val="center"/>
              <w:rPr>
                <w:rFonts w:hint="eastAsia" w:ascii="Times New Roman" w:hAnsi="Times New Roman" w:eastAsia="宋体" w:cs="宋体"/>
                <w:sz w:val="21"/>
                <w:szCs w:val="21"/>
              </w:rPr>
            </w:pPr>
            <w:r>
              <w:rPr>
                <w:rFonts w:hint="eastAsia" w:ascii="Times New Roman" w:hAnsi="Times New Roman" w:eastAsia="宋体" w:cs="宋体"/>
                <w:sz w:val="21"/>
                <w:szCs w:val="21"/>
              </w:rPr>
              <w:t>9.009</w:t>
            </w:r>
          </w:p>
        </w:tc>
        <w:tc>
          <w:tcPr>
            <w:tcW w:w="2198" w:type="dxa"/>
            <w:vAlign w:val="center"/>
          </w:tcPr>
          <w:p>
            <w:pPr>
              <w:spacing w:line="240" w:lineRule="auto"/>
              <w:jc w:val="center"/>
              <w:rPr>
                <w:rFonts w:hint="default" w:ascii="Times New Roman" w:hAnsi="Times New Roman" w:eastAsia="宋体" w:cs="宋体"/>
                <w:color w:val="FF0000"/>
                <w:sz w:val="21"/>
                <w:szCs w:val="21"/>
                <w:lang w:val="en-US" w:eastAsia="zh-CN"/>
              </w:rPr>
            </w:pPr>
            <w:r>
              <w:rPr>
                <w:rFonts w:hint="eastAsia" w:ascii="Times New Roman" w:hAnsi="Times New Roman" w:eastAsia="宋体" w:cs="宋体"/>
                <w:color w:val="auto"/>
                <w:sz w:val="21"/>
                <w:szCs w:val="21"/>
                <w:lang w:val="en-US" w:eastAsia="zh-CN"/>
              </w:rPr>
              <w:t>210</w:t>
            </w:r>
          </w:p>
        </w:tc>
      </w:tr>
    </w:tbl>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（投标人的车辆容积比大车大的，则划线至9.009立方米处，每车装车到线，相应基准价按大车基准价计算。）</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7.2本次招标采取一次性报价方式。</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8.1本项目采用经评审最低投标价（即最大优惠率K值）中标的办法评标。经评审的最大优惠率K值的投标人确定为中标候选人，中标候选人将在本公司网站上公示三天，无异议后转为中标人。</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8.2如出现最大优惠率K值达两个或者以上的情况，则在相同最大优惠率K值报价人之间再次报价（优惠率K值不得低于前次报价），直至确定中标候选人。</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w:t>
      </w:r>
      <w:r>
        <w:rPr>
          <w:rFonts w:hint="eastAsia" w:ascii="Times New Roman" w:hAnsi="Times New Roman" w:eastAsia="宋体"/>
          <w:color w:val="000000" w:themeColor="text1"/>
          <w:sz w:val="24"/>
          <w:szCs w:val="24"/>
          <w:u w:val="none"/>
          <w:lang w:eastAsia="zh-CN"/>
          <w14:textFill>
            <w14:solidFill>
              <w14:schemeClr w14:val="tx1"/>
            </w14:solidFill>
          </w14:textFill>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spacing w:line="40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5000</w:t>
      </w:r>
      <w:r>
        <w:rPr>
          <w:rFonts w:ascii="Times New Roman" w:hAnsi="Times New Roman" w:eastAsia="宋体"/>
          <w:color w:val="auto"/>
          <w:sz w:val="24"/>
          <w:szCs w:val="24"/>
        </w:rPr>
        <w:t>元。</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bCs/>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.5中标的投标人的投标保证金，将在中标人签订合同时转为履约保证金，合同按时履行完毕后予以退还，</w:t>
      </w:r>
      <w:r>
        <w:rPr>
          <w:rFonts w:hint="eastAsia" w:ascii="Times New Roman" w:hAnsi="Times New Roman" w:eastAsia="宋体"/>
          <w:color w:val="auto"/>
          <w:sz w:val="24"/>
          <w:szCs w:val="24"/>
        </w:rPr>
        <w:t>中标人无违约行为被扣款的，将全额无息退还</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.6如投标人有下列情况发生时，其投标保证金将被不予退还：</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w:t>
      </w:r>
      <w:r>
        <w:rPr>
          <w:rFonts w:ascii="Times New Roman" w:hAnsi="Times New Roman" w:eastAsia="宋体"/>
          <w:color w:val="auto"/>
          <w:sz w:val="24"/>
          <w:szCs w:val="24"/>
        </w:rPr>
        <w:t>，第</w:t>
      </w:r>
      <w:r>
        <w:rPr>
          <w:rFonts w:hint="eastAsia" w:ascii="Times New Roman" w:hAnsi="Times New Roman" w:eastAsia="宋体"/>
          <w:color w:val="auto"/>
          <w:sz w:val="24"/>
          <w:szCs w:val="24"/>
          <w:lang w:eastAsia="zh-CN"/>
        </w:rPr>
        <w:t>二</w:t>
      </w:r>
      <w:r>
        <w:rPr>
          <w:rFonts w:ascii="Times New Roman" w:hAnsi="Times New Roman" w:eastAsia="宋体"/>
          <w:color w:val="auto"/>
          <w:sz w:val="24"/>
          <w:szCs w:val="24"/>
        </w:rPr>
        <w:t>部分为资格文件，第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w:t>
      </w:r>
      <w:r>
        <w:rPr>
          <w:rFonts w:hint="eastAsia" w:ascii="Times New Roman" w:hAnsi="Times New Roman" w:eastAsia="宋体"/>
          <w:color w:val="auto"/>
          <w:sz w:val="24"/>
          <w:szCs w:val="24"/>
          <w:lang w:eastAsia="zh-CN"/>
        </w:rPr>
        <w:t>一</w:t>
      </w:r>
      <w:r>
        <w:rPr>
          <w:rFonts w:ascii="Times New Roman" w:hAnsi="Times New Roman" w:eastAsia="宋体"/>
          <w:color w:val="auto"/>
          <w:sz w:val="24"/>
          <w:szCs w:val="24"/>
        </w:rPr>
        <w:t>份，</w:t>
      </w:r>
      <w:r>
        <w:rPr>
          <w:rFonts w:hint="eastAsia" w:ascii="Times New Roman" w:hAnsi="Times New Roman" w:eastAsia="宋体"/>
          <w:color w:val="auto"/>
          <w:sz w:val="24"/>
          <w:szCs w:val="24"/>
          <w:lang w:eastAsia="zh-CN"/>
        </w:rPr>
        <w:t>主要有</w:t>
      </w:r>
      <w:r>
        <w:rPr>
          <w:rFonts w:hint="eastAsia" w:ascii="Times New Roman" w:hAnsi="Times New Roman" w:eastAsia="宋体"/>
          <w:color w:val="auto"/>
          <w:sz w:val="24"/>
          <w:szCs w:val="24"/>
        </w:rPr>
        <w:t>承包方案、劳动力及设备的安排、质量承诺及质量保障措施、技术偏离表、招标文件要求提供的其它技术方面的文件</w:t>
      </w:r>
      <w:r>
        <w:rPr>
          <w:rFonts w:ascii="Times New Roman" w:hAnsi="Times New Roman" w:eastAsia="宋体"/>
          <w:color w:val="auto"/>
          <w:sz w:val="24"/>
          <w:szCs w:val="24"/>
        </w:rPr>
        <w:t>，等等。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w:t>
      </w:r>
      <w:r>
        <w:rPr>
          <w:rFonts w:hint="eastAsia" w:ascii="Times New Roman" w:hAnsi="Times New Roman" w:eastAsia="宋体"/>
          <w:color w:val="auto"/>
          <w:sz w:val="24"/>
          <w:szCs w:val="24"/>
          <w:lang w:eastAsia="zh-CN"/>
        </w:rPr>
        <w:t>单</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lang w:eastAsia="zh-CN"/>
        </w:rPr>
        <w:t>福建省轻纺(控股)有限责任公司</w:t>
      </w:r>
      <w:r>
        <w:rPr>
          <w:rFonts w:hint="eastAsia" w:ascii="Times New Roman" w:hAnsi="Times New Roman" w:eastAsia="宋体"/>
          <w:b w:val="0"/>
          <w:bCs w:val="0"/>
          <w:color w:val="0000FF"/>
          <w:sz w:val="24"/>
          <w:szCs w:val="24"/>
          <w:u w:val="none"/>
          <w:lang w:eastAsia="zh-CN"/>
        </w:rPr>
        <w:fldChar w:fldCharType="begin"/>
      </w:r>
      <w:r>
        <w:rPr>
          <w:rFonts w:hint="eastAsia" w:ascii="Times New Roman" w:hAnsi="Times New Roman" w:eastAsia="宋体"/>
          <w:b w:val="0"/>
          <w:bCs w:val="0"/>
          <w:color w:val="0000FF"/>
          <w:sz w:val="24"/>
          <w:szCs w:val="24"/>
          <w:u w:val="none"/>
          <w:lang w:eastAsia="zh-CN"/>
        </w:rPr>
        <w:instrText xml:space="preserve"> HYPERLINK "http://www.fjqfkg.com" </w:instrText>
      </w:r>
      <w:r>
        <w:rPr>
          <w:rFonts w:hint="eastAsia" w:ascii="Times New Roman" w:hAnsi="Times New Roman" w:eastAsia="宋体"/>
          <w:b w:val="0"/>
          <w:bCs w:val="0"/>
          <w:color w:val="0000FF"/>
          <w:sz w:val="24"/>
          <w:szCs w:val="24"/>
          <w:u w:val="none"/>
          <w:lang w:eastAsia="zh-CN"/>
        </w:rPr>
        <w:fldChar w:fldCharType="separate"/>
      </w:r>
      <w:r>
        <w:rPr>
          <w:rStyle w:val="10"/>
          <w:rFonts w:hint="eastAsia" w:ascii="Times New Roman" w:hAnsi="Times New Roman" w:eastAsia="宋体"/>
          <w:b w:val="0"/>
          <w:bCs w:val="0"/>
          <w:color w:val="0000FF"/>
          <w:sz w:val="24"/>
          <w:szCs w:val="24"/>
          <w:lang w:eastAsia="zh-CN"/>
        </w:rPr>
        <w:t>www.fjqfkg.com</w:t>
      </w:r>
      <w:r>
        <w:rPr>
          <w:rFonts w:hint="eastAsia" w:ascii="Times New Roman" w:hAnsi="Times New Roman" w:eastAsia="宋体"/>
          <w:b w:val="0"/>
          <w:bCs w:val="0"/>
          <w:color w:val="0000FF"/>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生产部：0598-5658397</w:t>
      </w:r>
    </w:p>
    <w:p>
      <w:pPr>
        <w:spacing w:line="400" w:lineRule="exact"/>
        <w:ind w:firstLine="480" w:firstLineChars="200"/>
        <w:rPr>
          <w:rFonts w:hint="eastAsia" w:ascii="Times New Roman" w:hAnsi="Times New Roman" w:eastAsia="宋体"/>
          <w:color w:val="auto"/>
          <w:sz w:val="24"/>
          <w:szCs w:val="24"/>
        </w:rPr>
      </w:pP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：投标报价</w:t>
      </w:r>
      <w:r>
        <w:rPr>
          <w:rFonts w:hint="eastAsia" w:ascii="Times New Roman" w:hAnsi="Times New Roman" w:eastAsia="宋体"/>
          <w:color w:val="auto"/>
          <w:sz w:val="24"/>
          <w:szCs w:val="24"/>
          <w:lang w:eastAsia="zh-CN"/>
        </w:rPr>
        <w:t>单</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spacing w:line="400" w:lineRule="exact"/>
        <w:ind w:firstLine="480" w:firstLineChars="200"/>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xml:space="preserve">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spacing w:line="360" w:lineRule="auto"/>
        <w:jc w:val="both"/>
        <w:rPr>
          <w:rFonts w:hint="eastAsia" w:ascii="Times New Roman" w:hAnsi="Times New Roman" w:eastAsia="宋体"/>
          <w:b w:val="0"/>
          <w:bCs/>
          <w:sz w:val="24"/>
          <w:szCs w:val="24"/>
          <w:lang w:val="en-US" w:eastAsia="zh-CN"/>
        </w:rPr>
      </w:pPr>
      <w:r>
        <w:rPr>
          <w:rFonts w:hint="eastAsia" w:ascii="Times New Roman" w:hAnsi="Times New Roman" w:eastAsia="宋体"/>
          <w:b w:val="0"/>
          <w:bCs/>
          <w:sz w:val="24"/>
          <w:szCs w:val="24"/>
          <w:lang w:eastAsia="zh-CN"/>
        </w:rPr>
        <w:t>附件</w:t>
      </w:r>
      <w:r>
        <w:rPr>
          <w:rFonts w:hint="eastAsia" w:ascii="Times New Roman" w:hAnsi="Times New Roman" w:eastAsia="宋体"/>
          <w:b w:val="0"/>
          <w:bCs/>
          <w:sz w:val="24"/>
          <w:szCs w:val="24"/>
          <w:lang w:val="en-US" w:eastAsia="zh-CN"/>
        </w:rPr>
        <w:t>1：投标报价单</w:t>
      </w:r>
    </w:p>
    <w:p>
      <w:pPr>
        <w:spacing w:line="360" w:lineRule="auto"/>
        <w:jc w:val="both"/>
        <w:rPr>
          <w:rFonts w:hint="default" w:ascii="Times New Roman" w:hAnsi="Times New Roman" w:eastAsia="宋体"/>
          <w:b w:val="0"/>
          <w:bCs/>
          <w:sz w:val="24"/>
          <w:szCs w:val="24"/>
          <w:lang w:val="en-US" w:eastAsia="zh-CN"/>
        </w:rPr>
      </w:pPr>
    </w:p>
    <w:p>
      <w:pPr>
        <w:spacing w:line="360" w:lineRule="auto"/>
        <w:jc w:val="center"/>
        <w:rPr>
          <w:rFonts w:hint="eastAsia" w:ascii="Times New Roman" w:hAnsi="Times New Roman" w:eastAsia="宋体"/>
          <w:b/>
          <w:sz w:val="24"/>
          <w:szCs w:val="24"/>
          <w:lang w:eastAsia="zh-CN"/>
        </w:rPr>
      </w:pPr>
      <w:r>
        <w:rPr>
          <w:rFonts w:hint="eastAsia" w:ascii="Times New Roman" w:hAnsi="Times New Roman" w:eastAsia="宋体"/>
          <w:b/>
          <w:sz w:val="30"/>
          <w:szCs w:val="30"/>
        </w:rPr>
        <w:t>投</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标</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报</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rPr>
        <w:t>价</w:t>
      </w:r>
      <w:r>
        <w:rPr>
          <w:rFonts w:hint="eastAsia" w:ascii="Times New Roman" w:hAnsi="Times New Roman" w:eastAsia="宋体"/>
          <w:b/>
          <w:sz w:val="30"/>
          <w:szCs w:val="30"/>
          <w:lang w:val="en-US" w:eastAsia="zh-CN"/>
        </w:rPr>
        <w:t xml:space="preserve"> </w:t>
      </w:r>
      <w:r>
        <w:rPr>
          <w:rFonts w:hint="eastAsia" w:ascii="Times New Roman" w:hAnsi="Times New Roman" w:eastAsia="宋体"/>
          <w:b/>
          <w:sz w:val="30"/>
          <w:szCs w:val="30"/>
          <w:lang w:eastAsia="zh-CN"/>
        </w:rPr>
        <w:t>单</w:t>
      </w:r>
    </w:p>
    <w:p>
      <w:pPr>
        <w:spacing w:line="480" w:lineRule="auto"/>
        <w:ind w:firstLine="480" w:firstLineChars="200"/>
        <w:jc w:val="left"/>
        <w:rPr>
          <w:rFonts w:hint="eastAsia" w:ascii="Times New Roman" w:hAnsi="Times New Roman" w:eastAsia="宋体"/>
          <w:sz w:val="24"/>
          <w:szCs w:val="24"/>
          <w:lang w:val="en-US" w:eastAsia="zh-CN"/>
        </w:rPr>
      </w:pPr>
      <w:r>
        <w:rPr>
          <w:rFonts w:hint="eastAsia" w:ascii="Times New Roman" w:hAnsi="Times New Roman" w:eastAsia="宋体"/>
          <w:sz w:val="24"/>
          <w:szCs w:val="24"/>
        </w:rPr>
        <w:t>项目编号：20</w:t>
      </w:r>
      <w:r>
        <w:rPr>
          <w:rFonts w:hint="eastAsia" w:ascii="Times New Roman" w:hAnsi="Times New Roman" w:eastAsia="宋体"/>
          <w:sz w:val="24"/>
          <w:szCs w:val="24"/>
          <w:lang w:val="en-US" w:eastAsia="zh-CN"/>
        </w:rPr>
        <w:t>22</w:t>
      </w:r>
      <w:r>
        <w:rPr>
          <w:rFonts w:hint="eastAsia" w:ascii="Times New Roman" w:hAnsi="Times New Roman" w:eastAsia="宋体"/>
          <w:sz w:val="24"/>
          <w:szCs w:val="24"/>
        </w:rPr>
        <w:t>SC</w:t>
      </w:r>
      <w:r>
        <w:rPr>
          <w:rFonts w:hint="eastAsia" w:ascii="Times New Roman" w:hAnsi="Times New Roman" w:eastAsia="宋体"/>
          <w:sz w:val="24"/>
          <w:szCs w:val="24"/>
          <w:lang w:val="en-US" w:eastAsia="zh-CN"/>
        </w:rPr>
        <w:t>317</w:t>
      </w:r>
      <w:r>
        <w:rPr>
          <w:rFonts w:hint="eastAsia" w:ascii="Times New Roman" w:hAnsi="Times New Roman"/>
          <w:sz w:val="24"/>
          <w:szCs w:val="24"/>
          <w:lang w:val="en-US" w:eastAsia="zh-CN"/>
        </w:rPr>
        <w:t>C</w:t>
      </w:r>
    </w:p>
    <w:p>
      <w:pPr>
        <w:spacing w:line="48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项目名称：厂区各临时堆放点垃圾清运（不包括绿色垃圾桶）</w:t>
      </w:r>
    </w:p>
    <w:p>
      <w:pPr>
        <w:spacing w:line="480" w:lineRule="auto"/>
        <w:ind w:firstLine="480" w:firstLineChars="200"/>
        <w:jc w:val="left"/>
        <w:rPr>
          <w:rFonts w:hint="eastAsia" w:ascii="Times New Roman" w:hAnsi="Times New Roman" w:eastAsia="宋体"/>
          <w:sz w:val="24"/>
          <w:szCs w:val="24"/>
        </w:rPr>
      </w:pPr>
      <w:r>
        <w:rPr>
          <w:rFonts w:hint="eastAsia" w:ascii="Times New Roman" w:hAnsi="Times New Roman" w:eastAsia="宋体"/>
          <w:sz w:val="24"/>
          <w:szCs w:val="24"/>
        </w:rPr>
        <w:t>投标报价（</w:t>
      </w:r>
      <w:r>
        <w:rPr>
          <w:rFonts w:hint="eastAsia" w:ascii="Times New Roman" w:hAnsi="Times New Roman" w:eastAsia="宋体"/>
          <w:sz w:val="24"/>
          <w:szCs w:val="24"/>
          <w:lang w:eastAsia="zh-CN"/>
        </w:rPr>
        <w:t>即</w:t>
      </w:r>
      <w:r>
        <w:rPr>
          <w:rFonts w:hint="eastAsia" w:ascii="Times New Roman" w:hAnsi="Times New Roman" w:eastAsia="宋体"/>
          <w:sz w:val="24"/>
          <w:szCs w:val="24"/>
        </w:rPr>
        <w:t>优惠率K值）：</w:t>
      </w:r>
      <w:r>
        <w:rPr>
          <w:rFonts w:hint="eastAsia" w:ascii="Times New Roman" w:hAnsi="Times New Roman" w:eastAsia="宋体"/>
          <w:sz w:val="24"/>
          <w:szCs w:val="24"/>
          <w:u w:val="single"/>
        </w:rPr>
        <w:t>　　　</w:t>
      </w:r>
      <w:r>
        <w:rPr>
          <w:rFonts w:hint="eastAsia" w:ascii="Times New Roman" w:hAnsi="Times New Roman" w:eastAsia="宋体"/>
          <w:sz w:val="24"/>
          <w:szCs w:val="24"/>
        </w:rPr>
        <w:t>%</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是否响应招标文件：</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投标人代表：</w:t>
      </w: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投标人：</w:t>
      </w: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（单位盖章）</w:t>
      </w:r>
    </w:p>
    <w:p>
      <w:pPr>
        <w:spacing w:line="360" w:lineRule="auto"/>
        <w:ind w:firstLine="480" w:firstLineChars="200"/>
        <w:jc w:val="left"/>
        <w:rPr>
          <w:rFonts w:ascii="Times New Roman" w:hAnsi="Times New Roman" w:eastAsia="宋体"/>
          <w:sz w:val="24"/>
          <w:szCs w:val="24"/>
        </w:rPr>
      </w:pPr>
    </w:p>
    <w:p>
      <w:pPr>
        <w:spacing w:line="360" w:lineRule="auto"/>
        <w:ind w:firstLine="480" w:firstLineChars="200"/>
        <w:jc w:val="left"/>
        <w:rPr>
          <w:rFonts w:ascii="Times New Roman" w:hAnsi="Times New Roman" w:eastAsia="宋体"/>
          <w:sz w:val="24"/>
          <w:szCs w:val="24"/>
        </w:rPr>
      </w:pPr>
      <w:r>
        <w:rPr>
          <w:rFonts w:hint="eastAsia" w:ascii="Times New Roman" w:hAnsi="Times New Roman" w:eastAsia="宋体"/>
          <w:sz w:val="24"/>
          <w:szCs w:val="24"/>
        </w:rPr>
        <w:t>时间：</w:t>
      </w:r>
      <w:r>
        <w:rPr>
          <w:rFonts w:ascii="Times New Roman" w:hAnsi="Times New Roman" w:eastAsia="宋体"/>
          <w:sz w:val="24"/>
          <w:szCs w:val="24"/>
        </w:rPr>
        <w:t xml:space="preserve">    年    月  </w:t>
      </w:r>
      <w:r>
        <w:rPr>
          <w:rFonts w:hint="eastAsia" w:ascii="Times New Roman" w:hAnsi="Times New Roman" w:eastAsia="宋体"/>
          <w:sz w:val="24"/>
          <w:szCs w:val="24"/>
        </w:rPr>
        <w:t xml:space="preserve"> </w:t>
      </w:r>
      <w:r>
        <w:rPr>
          <w:rFonts w:ascii="Times New Roman" w:hAnsi="Times New Roman" w:eastAsia="宋体"/>
          <w:sz w:val="24"/>
          <w:szCs w:val="24"/>
        </w:rPr>
        <w:t xml:space="preserve"> 日</w:t>
      </w:r>
    </w:p>
    <w:p>
      <w:pPr>
        <w:rPr>
          <w:rFonts w:hint="eastAsia" w:ascii="Times New Roman" w:hAnsi="Times New Roman" w:eastAsia="宋体" w:cs="Times New Roman"/>
          <w:bCs/>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5040" w:firstLineChars="1800"/>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2SC317C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261925"/>
    <w:rsid w:val="1C857027"/>
    <w:rsid w:val="1D1A1A49"/>
    <w:rsid w:val="1F570C40"/>
    <w:rsid w:val="1FDC0B0B"/>
    <w:rsid w:val="1FF477CC"/>
    <w:rsid w:val="20287CB8"/>
    <w:rsid w:val="208E1D71"/>
    <w:rsid w:val="216A28FF"/>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D23354B"/>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2022-12-27T07:34:08Z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