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：浆粕半封闭螺杆压缩机采购</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3150"/>
        <w:gridCol w:w="1170"/>
        <w:gridCol w:w="3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31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c>
          <w:tcPr>
            <w:tcW w:w="394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型号规格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5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31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半封闭螺杆压缩机</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1台</w:t>
            </w:r>
          </w:p>
        </w:tc>
        <w:tc>
          <w:tcPr>
            <w:tcW w:w="394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制冷量约为486KW</w:t>
            </w:r>
          </w:p>
        </w:tc>
      </w:tr>
    </w:tbl>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3.主要技术、质量的要求</w:t>
      </w:r>
      <w:r>
        <w:rPr>
          <w:rFonts w:hint="eastAsia" w:ascii="Times New Roman" w:hAnsi="Times New Roman" w:eastAsia="宋体"/>
          <w:b w:val="0"/>
          <w:bCs w:val="0"/>
          <w:color w:val="auto"/>
          <w:sz w:val="24"/>
          <w:szCs w:val="24"/>
          <w:lang w:val="en-US" w:eastAsia="zh-CN"/>
        </w:rPr>
        <w:t>：具体详见附件1《浆粕半封闭螺杆压缩机技术要求》。</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4.1交货时间：投标时须注明最短交货期。</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4.2交货地点：福建省三明市沙县区青州镇福建省青山纸业股份有限公司设备库或指定生产区域内。</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5.2具有履行合同所必需的设备和专业技术能力。【提供声明函，格式见附件2】</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6.1中标方负责设备的运输，凡设备到招标方之前所产生的费用及意外损失由中标方负责承担。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rPr>
        <w:t>.1质量保证期为自设备验收合格之日起12个月或货到18个月（以时间先到为准），投标人可承诺更长的质保期。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7.2质量保证期内非买方原因引起的质量问题，中标方负责无偿返修，中标方未在买方规定的时间内返修，招标方有权选择其它供应商进行返修，返修费用由中标方承担</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color w:val="auto"/>
          <w:sz w:val="24"/>
          <w:szCs w:val="24"/>
          <w:lang w:eastAsia="zh-CN"/>
        </w:rPr>
        <w:t>：</w:t>
      </w:r>
      <w:r>
        <w:rPr>
          <w:rFonts w:hint="eastAsia" w:ascii="Times New Roman" w:hAnsi="Times New Roman" w:eastAsia="宋体"/>
          <w:b w:val="0"/>
          <w:bCs/>
          <w:color w:val="auto"/>
          <w:sz w:val="24"/>
          <w:szCs w:val="24"/>
          <w:lang w:eastAsia="zh-CN"/>
        </w:rPr>
        <w:t>不支付预付款，验收合格后，招标人财务部收到全额13%增值税专用发票45天支付总合同价的90%（银行承兑汇票）；质保金为总合同价的10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w:t>
      </w:r>
      <w:r>
        <w:rPr>
          <w:rFonts w:hint="eastAsia" w:ascii="Times New Roman" w:hAnsi="Times New Roman" w:eastAsia="宋体"/>
          <w:color w:val="auto"/>
          <w:sz w:val="24"/>
          <w:szCs w:val="24"/>
        </w:rPr>
        <w:t>以一票制方式结算。</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F=50-（A- AD）÷（AG- AD）×6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w:t>
            </w:r>
            <w:r>
              <w:rPr>
                <w:rFonts w:hint="eastAsia" w:ascii="Times New Roman" w:hAnsi="Times New Roman" w:eastAsia="宋体" w:cs="Times New Roman"/>
                <w:color w:val="auto"/>
                <w:kern w:val="0"/>
                <w:szCs w:val="21"/>
                <w:lang w:val="en-US" w:eastAsia="zh-CN"/>
              </w:rPr>
              <w:t>30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②设备品质</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10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eastAsia="zh-CN"/>
              </w:rPr>
              <w:t>①</w:t>
            </w:r>
            <w:r>
              <w:rPr>
                <w:rFonts w:hint="eastAsia" w:ascii="Times New Roman" w:hAnsi="Times New Roman" w:eastAsia="宋体" w:cs="Times New Roman"/>
                <w:color w:val="auto"/>
                <w:kern w:val="0"/>
                <w:szCs w:val="21"/>
                <w:lang w:val="en-US" w:eastAsia="zh-CN"/>
              </w:rPr>
              <w:t>品牌业绩：2分；1分/份合同（以三年内合同复印件为准），封顶2分；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②售后服务：3分。根据投标人的响应情况进行打分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①接受承兑汇票得1分，不接受的得0分；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②接受质保金得1分，不接受的得0分；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③预付方式3分。按照预付款比例相应扣分。</w:t>
            </w:r>
          </w:p>
        </w:tc>
      </w:tr>
    </w:tbl>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39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lang w:eastAsia="zh-CN"/>
        </w:rPr>
        <w:t>（以下三种参与方式投标人可任选一种）</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现场：参与现场投标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投标人应于开标之前将投标文件送至青山纸业文化楼4楼招标办会议室。</w:t>
      </w:r>
      <w:r>
        <w:rPr>
          <w:rFonts w:hint="eastAsia" w:ascii="Times New Roman" w:hAnsi="Times New Roman" w:eastAsia="宋体"/>
          <w:color w:val="000000" w:themeColor="text1"/>
          <w:sz w:val="24"/>
          <w:szCs w:val="24"/>
          <w:u w:val="none"/>
          <w14:textFill>
            <w14:solidFill>
              <w14:schemeClr w14:val="tx1"/>
            </w14:solidFill>
          </w14:textFill>
        </w:rPr>
        <w:t>到会议现场参加开标的投标人代表，须遵守沙县政府和本公司关于新冠肺炎疫情防控的相关规定</w:t>
      </w:r>
      <w:r>
        <w:rPr>
          <w:rFonts w:hint="eastAsia" w:ascii="Times New Roman" w:hAnsi="Times New Roman" w:eastAsia="宋体"/>
          <w:color w:val="000000" w:themeColor="text1"/>
          <w:sz w:val="24"/>
          <w:szCs w:val="24"/>
          <w:u w:val="none"/>
          <w:lang w:eastAsia="zh-CN"/>
          <w14:textFill>
            <w14:solidFill>
              <w14:schemeClr w14:val="tx1"/>
            </w14:solidFill>
          </w14:textFill>
        </w:rPr>
        <w:t>。</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w:t>
      </w:r>
      <w:r>
        <w:rPr>
          <w:rFonts w:hint="eastAsia" w:ascii="Times New Roman" w:hAnsi="Times New Roman" w:eastAsia="宋体"/>
          <w:sz w:val="24"/>
          <w:szCs w:val="24"/>
        </w:rPr>
        <w:t>在1688</w:t>
      </w:r>
      <w:r>
        <w:rPr>
          <w:rFonts w:hint="eastAsia" w:ascii="Times New Roman" w:hAnsi="Times New Roman" w:eastAsia="宋体"/>
          <w:sz w:val="24"/>
          <w:szCs w:val="24"/>
          <w:lang w:eastAsia="zh-CN"/>
        </w:rPr>
        <w:t>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39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3000</w:t>
      </w:r>
      <w:r>
        <w:rPr>
          <w:rFonts w:ascii="Times New Roman" w:hAnsi="Times New Roman" w:eastAsia="宋体"/>
          <w:color w:val="auto"/>
          <w:sz w:val="24"/>
          <w:szCs w:val="24"/>
        </w:rPr>
        <w:t>元。</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390" w:lineRule="exact"/>
        <w:ind w:firstLine="482" w:firstLineChars="200"/>
        <w:textAlignment w:val="auto"/>
        <w:rPr>
          <w:rFonts w:ascii="Times New Roman" w:hAnsi="Times New Roman" w:eastAsia="宋体"/>
          <w:color w:val="auto"/>
          <w:sz w:val="24"/>
          <w:szCs w:val="24"/>
        </w:rPr>
      </w:pPr>
      <w:r>
        <w:rPr>
          <w:rFonts w:ascii="Times New Roman" w:hAnsi="Times New Roman" w:eastAsia="宋体"/>
          <w:b/>
          <w:bCs/>
          <w:color w:val="auto"/>
          <w:sz w:val="24"/>
          <w:szCs w:val="24"/>
        </w:rPr>
        <w:t>1</w:t>
      </w:r>
      <w:r>
        <w:rPr>
          <w:rFonts w:hint="eastAsia" w:ascii="Times New Roman" w:hAnsi="Times New Roman" w:eastAsia="宋体"/>
          <w:b/>
          <w:bCs/>
          <w:color w:val="auto"/>
          <w:sz w:val="24"/>
          <w:szCs w:val="24"/>
          <w:lang w:val="en-US" w:eastAsia="zh-CN"/>
        </w:rPr>
        <w:t>2</w:t>
      </w:r>
      <w:r>
        <w:rPr>
          <w:rFonts w:ascii="Times New Roman" w:hAnsi="Times New Roman" w:eastAsia="宋体"/>
          <w:b/>
          <w:bCs/>
          <w:color w:val="auto"/>
          <w:sz w:val="24"/>
          <w:szCs w:val="24"/>
        </w:rPr>
        <w:t>.6如投标人有下列情况发生时，其投标保证金将被不予退还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39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b/>
          <w:bCs/>
          <w:color w:val="auto"/>
          <w:sz w:val="24"/>
          <w:szCs w:val="24"/>
          <w:lang w:eastAsia="zh-CN"/>
        </w:rPr>
        <w:t>（必须有产品的型号、参数配置、外形等详细资料）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；d.</w:t>
      </w:r>
      <w:r>
        <w:rPr>
          <w:rFonts w:hint="eastAsia" w:ascii="Times New Roman" w:hAnsi="Times New Roman" w:eastAsia="宋体"/>
          <w:color w:val="auto"/>
          <w:sz w:val="24"/>
          <w:szCs w:val="24"/>
          <w:lang w:eastAsia="zh-CN"/>
        </w:rPr>
        <w:t>投标人三年内相类似的销售</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39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39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9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技术联系人：陈工18259736793</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设备部：杨工13559873242</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：浆粕半封闭螺杆压缩机技术要求</w:t>
      </w:r>
      <w:r>
        <w:rPr>
          <w:rFonts w:hint="eastAsia" w:ascii="Times New Roman" w:hAnsi="Times New Roman" w:eastAsia="宋体"/>
          <w:color w:val="auto"/>
          <w:sz w:val="24"/>
          <w:szCs w:val="24"/>
          <w:lang w:eastAsia="zh-CN"/>
        </w:rPr>
        <w:t>【注：有意向参与投标的单位可联系招标办获取】</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2：声明函（格式）</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39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9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39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39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bookmarkStart w:id="0" w:name="_GoBack"/>
      <w:bookmarkEnd w:id="0"/>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（注：若有证明材料，附后。）</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3SB009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2023-01-04T08:28:05Z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