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：热电厂6#炉新建灰库改造项目</w:t>
      </w:r>
    </w:p>
    <w:p>
      <w:pPr>
        <w:spacing w:line="420" w:lineRule="exact"/>
        <w:ind w:firstLine="482" w:firstLineChars="200"/>
        <w:rPr>
          <w:rFonts w:hint="eastAsia" w:ascii="Times New Roman" w:hAnsi="Times New Roman" w:eastAsia="宋体"/>
          <w:b/>
          <w:sz w:val="24"/>
          <w:szCs w:val="24"/>
          <w:lang w:eastAsia="zh-CN"/>
        </w:rPr>
      </w:pPr>
      <w:r>
        <w:rPr>
          <w:rFonts w:hint="eastAsia" w:ascii="Times New Roman" w:hAnsi="Times New Roman" w:eastAsia="宋体"/>
          <w:b/>
          <w:sz w:val="24"/>
          <w:szCs w:val="24"/>
        </w:rPr>
        <w:t>2.项目</w:t>
      </w:r>
      <w:r>
        <w:rPr>
          <w:rFonts w:hint="eastAsia" w:ascii="Times New Roman" w:hAnsi="Times New Roman" w:eastAsia="宋体"/>
          <w:b/>
          <w:sz w:val="24"/>
          <w:szCs w:val="24"/>
          <w:lang w:eastAsia="zh-CN"/>
        </w:rPr>
        <w:t>概述</w:t>
      </w:r>
    </w:p>
    <w:p>
      <w:pPr>
        <w:spacing w:line="420" w:lineRule="exact"/>
        <w:ind w:firstLine="480" w:firstLineChars="200"/>
        <w:rPr>
          <w:rFonts w:hint="eastAsia" w:ascii="Times New Roman" w:hAnsi="Times New Roman" w:eastAsia="宋体"/>
          <w:b w:val="0"/>
          <w:bCs/>
          <w:sz w:val="24"/>
          <w:szCs w:val="24"/>
        </w:rPr>
      </w:pPr>
      <w:r>
        <w:rPr>
          <w:rFonts w:hint="eastAsia" w:ascii="Times New Roman" w:hAnsi="Times New Roman" w:eastAsia="宋体"/>
          <w:b w:val="0"/>
          <w:bCs/>
          <w:sz w:val="24"/>
          <w:szCs w:val="24"/>
        </w:rPr>
        <w:t>青山纸业原有一座有效容积600m3钢结构灰库，该库建于2008年2月。灰库的土建由业主方负责施工。灰库配有相应的干、湿岀灰设备、库顶布袋除尘器及电控设备。按青山纸业技改项目整体规划布局的要求，原有一座600m3灰库所在位置的场地另有它用，故600m3钢灰库需要挪位重建。同样灰库设备可用即用，不可用就新增。根据目前公司生产系统的具体情况，锅炉（6#锅炉为150t/h高温高压循环流化床锅炉，型号YG-150/9.8-M1）目前的平均负荷为80t/h，故新建灰库的有效容积改为400m³。锅炉配套改造后的电除尘型号为2DJP64-3，除尘器处理烟气量350000m3/h，收尘效率99.86%，入口含尘浓度35g/Nm3，出口含尘浓度≤50mg/Nm3。气力输灰系统的灰气比为22kg/kg，起始速度为5.2m/s,末端速度为9.5m/s，设计输送距离为500米。现每天输送灰量约60吨。</w:t>
      </w:r>
    </w:p>
    <w:p>
      <w:pPr>
        <w:spacing w:line="420" w:lineRule="exact"/>
        <w:ind w:firstLine="480" w:firstLineChars="200"/>
        <w:rPr>
          <w:rFonts w:hint="eastAsia" w:ascii="Times New Roman" w:hAnsi="Times New Roman" w:eastAsia="宋体"/>
          <w:b w:val="0"/>
          <w:bCs/>
          <w:sz w:val="24"/>
          <w:szCs w:val="24"/>
        </w:rPr>
      </w:pPr>
      <w:r>
        <w:rPr>
          <w:rFonts w:hint="eastAsia" w:ascii="Times New Roman" w:hAnsi="Times New Roman" w:eastAsia="宋体"/>
          <w:b w:val="0"/>
          <w:bCs/>
          <w:sz w:val="24"/>
          <w:szCs w:val="24"/>
        </w:rPr>
        <w:t>本项目招标人不统一组织踏勘，由于本项目属于在建项目，存在诸多未知情况，为方便投标人更好了解本项目的现场具体情况或其它需要了解的项目概况信息，避免在投标时因理解不清而影响今后项目的实施。投标人可以与招标人联系进行踏勘现场。投标人未作相应踏勘工作视为完全理解并接受招标人所有规定和要求，由于投标人对招标要求理解不正确或误解造成的一切后果和可能增加的费用均由投标人自行负责。投标人有需要进行踏勘的，请提前致电预约。</w:t>
      </w:r>
    </w:p>
    <w:p>
      <w:pPr>
        <w:spacing w:line="420" w:lineRule="exact"/>
        <w:ind w:firstLine="480" w:firstLineChars="200"/>
        <w:rPr>
          <w:rFonts w:hint="eastAsia" w:ascii="Times New Roman" w:hAnsi="Times New Roman" w:eastAsia="宋体"/>
          <w:b w:val="0"/>
          <w:bCs/>
          <w:sz w:val="24"/>
          <w:szCs w:val="24"/>
        </w:rPr>
      </w:pPr>
      <w:r>
        <w:rPr>
          <w:rFonts w:hint="eastAsia" w:ascii="Times New Roman" w:hAnsi="Times New Roman" w:eastAsia="宋体"/>
          <w:b w:val="0"/>
          <w:bCs/>
          <w:sz w:val="24"/>
          <w:szCs w:val="24"/>
        </w:rPr>
        <w:t>招标方的工作范围：</w:t>
      </w:r>
    </w:p>
    <w:p>
      <w:pPr>
        <w:spacing w:line="420" w:lineRule="exact"/>
        <w:ind w:firstLine="480" w:firstLineChars="200"/>
        <w:rPr>
          <w:rFonts w:hint="eastAsia" w:ascii="Times New Roman" w:hAnsi="Times New Roman" w:eastAsia="宋体"/>
          <w:b w:val="0"/>
          <w:bCs/>
          <w:sz w:val="24"/>
          <w:szCs w:val="24"/>
        </w:rPr>
      </w:pPr>
      <w:r>
        <w:rPr>
          <w:rFonts w:hint="eastAsia" w:ascii="Times New Roman" w:hAnsi="Times New Roman" w:eastAsia="宋体"/>
          <w:b w:val="0"/>
          <w:bCs/>
          <w:sz w:val="24"/>
          <w:szCs w:val="24"/>
          <w:lang w:eastAsia="zh-CN"/>
        </w:rPr>
        <w:t>（</w:t>
      </w:r>
      <w:r>
        <w:rPr>
          <w:rFonts w:hint="eastAsia" w:ascii="Times New Roman" w:hAnsi="Times New Roman" w:eastAsia="宋体"/>
          <w:b w:val="0"/>
          <w:bCs/>
          <w:sz w:val="24"/>
          <w:szCs w:val="24"/>
          <w:lang w:val="en-US" w:eastAsia="zh-CN"/>
        </w:rPr>
        <w:t>1</w:t>
      </w:r>
      <w:r>
        <w:rPr>
          <w:rFonts w:hint="eastAsia" w:ascii="Times New Roman" w:hAnsi="Times New Roman" w:eastAsia="宋体"/>
          <w:b w:val="0"/>
          <w:bCs/>
          <w:sz w:val="24"/>
          <w:szCs w:val="24"/>
          <w:lang w:eastAsia="zh-CN"/>
        </w:rPr>
        <w:t>）</w:t>
      </w:r>
      <w:r>
        <w:rPr>
          <w:rFonts w:hint="eastAsia" w:ascii="Times New Roman" w:hAnsi="Times New Roman" w:eastAsia="宋体"/>
          <w:b w:val="0"/>
          <w:bCs/>
          <w:sz w:val="24"/>
          <w:szCs w:val="24"/>
        </w:rPr>
        <w:t>招标人负责灰库系统用水接到离灰库1m范围内。招标人向投标人提供详细的要求和水量。</w:t>
      </w:r>
    </w:p>
    <w:p>
      <w:pPr>
        <w:spacing w:line="420" w:lineRule="exact"/>
        <w:ind w:firstLine="480" w:firstLineChars="200"/>
        <w:rPr>
          <w:rFonts w:hint="eastAsia" w:ascii="Times New Roman" w:hAnsi="Times New Roman" w:eastAsia="宋体"/>
          <w:b w:val="0"/>
          <w:bCs/>
          <w:sz w:val="24"/>
          <w:szCs w:val="24"/>
        </w:rPr>
      </w:pPr>
      <w:r>
        <w:rPr>
          <w:rFonts w:hint="eastAsia" w:ascii="Times New Roman" w:hAnsi="Times New Roman" w:eastAsia="宋体"/>
          <w:b w:val="0"/>
          <w:bCs/>
          <w:sz w:val="24"/>
          <w:szCs w:val="24"/>
          <w:lang w:eastAsia="zh-CN"/>
        </w:rPr>
        <w:t>（</w:t>
      </w:r>
      <w:r>
        <w:rPr>
          <w:rFonts w:hint="eastAsia" w:ascii="Times New Roman" w:hAnsi="Times New Roman" w:eastAsia="宋体"/>
          <w:b w:val="0"/>
          <w:bCs/>
          <w:sz w:val="24"/>
          <w:szCs w:val="24"/>
          <w:lang w:val="en-US" w:eastAsia="zh-CN"/>
        </w:rPr>
        <w:t>2</w:t>
      </w:r>
      <w:r>
        <w:rPr>
          <w:rFonts w:hint="eastAsia" w:ascii="Times New Roman" w:hAnsi="Times New Roman" w:eastAsia="宋体"/>
          <w:b w:val="0"/>
          <w:bCs/>
          <w:sz w:val="24"/>
          <w:szCs w:val="24"/>
          <w:lang w:eastAsia="zh-CN"/>
        </w:rPr>
        <w:t>）</w:t>
      </w:r>
      <w:r>
        <w:rPr>
          <w:rFonts w:hint="eastAsia" w:ascii="Times New Roman" w:hAnsi="Times New Roman" w:eastAsia="宋体"/>
          <w:b w:val="0"/>
          <w:bCs/>
          <w:sz w:val="24"/>
          <w:szCs w:val="24"/>
        </w:rPr>
        <w:t>招标人在5#炉电除尘旁空气储罐的联箱提供一接口，由中标人负责接至钢灰库。</w:t>
      </w:r>
    </w:p>
    <w:p>
      <w:pPr>
        <w:spacing w:line="420" w:lineRule="exact"/>
        <w:ind w:firstLine="480" w:firstLineChars="200"/>
        <w:rPr>
          <w:rFonts w:hint="eastAsia" w:ascii="Times New Roman" w:hAnsi="Times New Roman" w:eastAsia="宋体"/>
          <w:b w:val="0"/>
          <w:bCs/>
          <w:sz w:val="24"/>
          <w:szCs w:val="24"/>
        </w:rPr>
      </w:pPr>
      <w:r>
        <w:rPr>
          <w:rFonts w:hint="eastAsia" w:ascii="Times New Roman" w:hAnsi="Times New Roman" w:eastAsia="宋体"/>
          <w:b w:val="0"/>
          <w:bCs/>
          <w:sz w:val="24"/>
          <w:szCs w:val="24"/>
          <w:lang w:eastAsia="zh-CN"/>
        </w:rPr>
        <w:t>（</w:t>
      </w:r>
      <w:r>
        <w:rPr>
          <w:rFonts w:hint="eastAsia" w:ascii="Times New Roman" w:hAnsi="Times New Roman" w:eastAsia="宋体"/>
          <w:b w:val="0"/>
          <w:bCs/>
          <w:sz w:val="24"/>
          <w:szCs w:val="24"/>
          <w:lang w:val="en-US" w:eastAsia="zh-CN"/>
        </w:rPr>
        <w:t>3</w:t>
      </w:r>
      <w:r>
        <w:rPr>
          <w:rFonts w:hint="eastAsia" w:ascii="Times New Roman" w:hAnsi="Times New Roman" w:eastAsia="宋体"/>
          <w:b w:val="0"/>
          <w:bCs/>
          <w:sz w:val="24"/>
          <w:szCs w:val="24"/>
          <w:lang w:eastAsia="zh-CN"/>
        </w:rPr>
        <w:t>）</w:t>
      </w:r>
      <w:r>
        <w:rPr>
          <w:rFonts w:hint="eastAsia" w:ascii="Times New Roman" w:hAnsi="Times New Roman" w:eastAsia="宋体"/>
          <w:b w:val="0"/>
          <w:bCs/>
          <w:sz w:val="24"/>
          <w:szCs w:val="24"/>
        </w:rPr>
        <w:t>钢灰库所需的动力在现有的化水低压柜中引出，由中标人负责接至钢灰库，电源为三相五线（380V/220V）。回路下口后所需的电气设备及线路敷设材料均由中标人提供。投标人提供详细的电源容量详细要求。</w:t>
      </w:r>
    </w:p>
    <w:p>
      <w:pPr>
        <w:spacing w:line="420" w:lineRule="exact"/>
        <w:ind w:firstLine="480" w:firstLineChars="200"/>
        <w:rPr>
          <w:rFonts w:hint="eastAsia" w:ascii="Times New Roman" w:hAnsi="Times New Roman" w:eastAsia="宋体"/>
          <w:b w:val="0"/>
          <w:bCs/>
          <w:sz w:val="24"/>
          <w:szCs w:val="24"/>
        </w:rPr>
      </w:pPr>
      <w:r>
        <w:rPr>
          <w:rFonts w:hint="eastAsia" w:ascii="Times New Roman" w:hAnsi="Times New Roman" w:eastAsia="宋体"/>
          <w:b w:val="0"/>
          <w:bCs/>
          <w:sz w:val="24"/>
          <w:szCs w:val="24"/>
          <w:lang w:eastAsia="zh-CN"/>
        </w:rPr>
        <w:t>（</w:t>
      </w:r>
      <w:r>
        <w:rPr>
          <w:rFonts w:hint="eastAsia" w:ascii="Times New Roman" w:hAnsi="Times New Roman" w:eastAsia="宋体"/>
          <w:b w:val="0"/>
          <w:bCs/>
          <w:sz w:val="24"/>
          <w:szCs w:val="24"/>
          <w:lang w:val="en-US" w:eastAsia="zh-CN"/>
        </w:rPr>
        <w:t>4</w:t>
      </w:r>
      <w:r>
        <w:rPr>
          <w:rFonts w:hint="eastAsia" w:ascii="Times New Roman" w:hAnsi="Times New Roman" w:eastAsia="宋体"/>
          <w:b w:val="0"/>
          <w:bCs/>
          <w:sz w:val="24"/>
          <w:szCs w:val="24"/>
          <w:lang w:eastAsia="zh-CN"/>
        </w:rPr>
        <w:t>）</w:t>
      </w:r>
      <w:r>
        <w:rPr>
          <w:rFonts w:hint="eastAsia" w:ascii="Times New Roman" w:hAnsi="Times New Roman" w:eastAsia="宋体"/>
          <w:b w:val="0"/>
          <w:bCs/>
          <w:sz w:val="24"/>
          <w:szCs w:val="24"/>
        </w:rPr>
        <w:t>房屋拆除、地面三通一平由招标人负责，地质勘探由中标人负责。</w:t>
      </w:r>
    </w:p>
    <w:p>
      <w:pPr>
        <w:spacing w:line="420" w:lineRule="exact"/>
        <w:ind w:firstLine="480" w:firstLineChars="200"/>
        <w:rPr>
          <w:rFonts w:hint="eastAsia" w:ascii="Times New Roman" w:hAnsi="Times New Roman" w:eastAsia="宋体"/>
          <w:b w:val="0"/>
          <w:bCs/>
          <w:sz w:val="24"/>
          <w:szCs w:val="24"/>
        </w:rPr>
      </w:pPr>
      <w:r>
        <w:rPr>
          <w:rFonts w:hint="eastAsia" w:ascii="Times New Roman" w:hAnsi="Times New Roman" w:eastAsia="宋体"/>
          <w:b w:val="0"/>
          <w:bCs/>
          <w:sz w:val="24"/>
          <w:szCs w:val="24"/>
          <w:lang w:eastAsia="zh-CN"/>
        </w:rPr>
        <w:t>（</w:t>
      </w:r>
      <w:r>
        <w:rPr>
          <w:rFonts w:hint="eastAsia" w:ascii="Times New Roman" w:hAnsi="Times New Roman" w:eastAsia="宋体"/>
          <w:b w:val="0"/>
          <w:bCs/>
          <w:sz w:val="24"/>
          <w:szCs w:val="24"/>
          <w:lang w:val="en-US" w:eastAsia="zh-CN"/>
        </w:rPr>
        <w:t>5</w:t>
      </w:r>
      <w:r>
        <w:rPr>
          <w:rFonts w:hint="eastAsia" w:ascii="Times New Roman" w:hAnsi="Times New Roman" w:eastAsia="宋体"/>
          <w:b w:val="0"/>
          <w:bCs/>
          <w:sz w:val="24"/>
          <w:szCs w:val="24"/>
          <w:lang w:eastAsia="zh-CN"/>
        </w:rPr>
        <w:t>）</w:t>
      </w:r>
      <w:r>
        <w:rPr>
          <w:rFonts w:hint="eastAsia" w:ascii="Times New Roman" w:hAnsi="Times New Roman" w:eastAsia="宋体"/>
          <w:b w:val="0"/>
          <w:bCs/>
          <w:sz w:val="24"/>
          <w:szCs w:val="24"/>
        </w:rPr>
        <w:t>现场施工电源、水源、气源由招标人负责提供。</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lang w:val="en-US" w:eastAsia="zh-CN"/>
        </w:rPr>
        <w:t>3</w:t>
      </w:r>
      <w:r>
        <w:rPr>
          <w:rFonts w:hint="eastAsia" w:ascii="Times New Roman" w:hAnsi="Times New Roman" w:eastAsia="宋体"/>
          <w:b/>
          <w:sz w:val="24"/>
          <w:szCs w:val="24"/>
        </w:rPr>
        <w:t>.项目内容及要求</w:t>
      </w:r>
    </w:p>
    <w:p>
      <w:pPr>
        <w:spacing w:line="420" w:lineRule="exact"/>
        <w:ind w:firstLine="482" w:firstLineChars="200"/>
        <w:rPr>
          <w:rFonts w:hint="eastAsia" w:ascii="Times New Roman" w:hAnsi="Times New Roman" w:eastAsia="宋体"/>
          <w:b/>
          <w:bCs w:val="0"/>
          <w:sz w:val="24"/>
          <w:szCs w:val="24"/>
        </w:rPr>
      </w:pPr>
      <w:r>
        <w:rPr>
          <w:rFonts w:hint="eastAsia" w:ascii="Times New Roman" w:hAnsi="Times New Roman" w:eastAsia="宋体"/>
          <w:b/>
          <w:bCs w:val="0"/>
          <w:sz w:val="24"/>
          <w:szCs w:val="24"/>
          <w:lang w:val="en-US" w:eastAsia="zh-CN"/>
        </w:rPr>
        <w:t>3.1</w:t>
      </w:r>
      <w:r>
        <w:rPr>
          <w:rFonts w:hint="eastAsia" w:ascii="Times New Roman" w:hAnsi="Times New Roman" w:eastAsia="宋体"/>
          <w:b/>
          <w:bCs w:val="0"/>
          <w:sz w:val="24"/>
          <w:szCs w:val="24"/>
        </w:rPr>
        <w:t>工作范围</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3.1.1</w:t>
      </w:r>
      <w:r>
        <w:rPr>
          <w:rFonts w:hint="eastAsia" w:ascii="Times New Roman" w:hAnsi="Times New Roman" w:eastAsia="宋体"/>
          <w:bCs/>
          <w:sz w:val="24"/>
          <w:szCs w:val="24"/>
        </w:rPr>
        <w:t>此项目为总包工程，中标人负责本工程的所属土建部分的设计及施工、负责该系统内设备及附件的供货、安装、调试和人员技术培训。中标人对其所供系统和所提供的设备和附件全面负责。</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3.1.2</w:t>
      </w:r>
      <w:r>
        <w:rPr>
          <w:rFonts w:hint="eastAsia" w:ascii="Times New Roman" w:hAnsi="Times New Roman" w:eastAsia="宋体"/>
          <w:bCs/>
          <w:sz w:val="24"/>
          <w:szCs w:val="24"/>
        </w:rPr>
        <w:t>干灰输送管道（从6#炉排灰系统的灰罐出口至新建灰库的顶部卸灰箱入口）设计、安装及管架的制作（含土建施工），输灰直管道材质采用20#无缝钢管（Φ168*10），输灰管道弯头材质采用内衬复合陶瓷耐磨弯头，弯头数量约12个，管道总长约200米。压缩空气管道为Φ76*4.5的20#无缝钢管（从5#炉电除尘旁空气储罐的出口联箱引出），总长约200米，管架与干灰管道共用。管道具体走向及长度以现场准。</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3.1.3</w:t>
      </w:r>
      <w:r>
        <w:rPr>
          <w:rFonts w:hint="eastAsia" w:ascii="Times New Roman" w:hAnsi="Times New Roman" w:eastAsia="宋体"/>
          <w:bCs/>
          <w:sz w:val="24"/>
          <w:szCs w:val="24"/>
        </w:rPr>
        <w:t>灰库旁边还需新建一座平房3m*12m，作为值班室、配电室、备件室及煤化验室。再建一个污水收集池（长2m*宽3m*深2m，配排污泵及管道）。此平房工程内的给排水、接地、照明均由中标人负责。</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3.1.4</w:t>
      </w:r>
      <w:r>
        <w:rPr>
          <w:rFonts w:hint="eastAsia" w:ascii="Times New Roman" w:hAnsi="Times New Roman" w:eastAsia="宋体"/>
          <w:bCs/>
          <w:sz w:val="24"/>
          <w:szCs w:val="24"/>
        </w:rPr>
        <w:t>原有灰库的利旧部分的拆除、移位、设备维修及安装都由中标人负责，剩余的废旧部分由中标人运到招标人指定位置。</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3.1.5</w:t>
      </w:r>
      <w:r>
        <w:rPr>
          <w:rFonts w:hint="eastAsia" w:ascii="Times New Roman" w:hAnsi="Times New Roman" w:eastAsia="宋体"/>
          <w:bCs/>
          <w:sz w:val="24"/>
          <w:szCs w:val="24"/>
        </w:rPr>
        <w:t>中标人负责新建灰库场地的围挡墙及地面硬化。</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3.1.6</w:t>
      </w:r>
      <w:r>
        <w:rPr>
          <w:rFonts w:hint="eastAsia" w:ascii="Times New Roman" w:hAnsi="Times New Roman" w:eastAsia="宋体"/>
          <w:bCs/>
          <w:sz w:val="24"/>
          <w:szCs w:val="24"/>
        </w:rPr>
        <w:t>钢构、走台、栏杆、管道、支架需除锈防腐刷漆五道（二底一中二面），颜色由招标人定，油漆选用江苏兰陵产品。</w:t>
      </w:r>
    </w:p>
    <w:p>
      <w:pPr>
        <w:spacing w:line="420" w:lineRule="exact"/>
        <w:ind w:firstLine="482" w:firstLineChars="200"/>
        <w:rPr>
          <w:rFonts w:hint="eastAsia" w:ascii="Times New Roman" w:hAnsi="Times New Roman" w:eastAsia="宋体"/>
          <w:bCs/>
          <w:sz w:val="24"/>
          <w:szCs w:val="24"/>
        </w:rPr>
      </w:pPr>
      <w:r>
        <w:rPr>
          <w:rFonts w:hint="eastAsia" w:ascii="Times New Roman" w:hAnsi="Times New Roman" w:eastAsia="宋体"/>
          <w:b/>
          <w:bCs w:val="0"/>
          <w:sz w:val="24"/>
          <w:szCs w:val="24"/>
          <w:lang w:val="en-US" w:eastAsia="zh-CN"/>
        </w:rPr>
        <w:t>3.2</w:t>
      </w:r>
      <w:r>
        <w:rPr>
          <w:rFonts w:hint="eastAsia" w:ascii="Times New Roman" w:hAnsi="Times New Roman" w:eastAsia="宋体"/>
          <w:b/>
          <w:bCs w:val="0"/>
          <w:sz w:val="24"/>
          <w:szCs w:val="24"/>
        </w:rPr>
        <w:t>钢灰库及设备要求</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3.2.1</w:t>
      </w:r>
      <w:r>
        <w:rPr>
          <w:rFonts w:hint="eastAsia" w:ascii="Times New Roman" w:hAnsi="Times New Roman" w:eastAsia="宋体"/>
          <w:bCs/>
          <w:sz w:val="24"/>
          <w:szCs w:val="24"/>
        </w:rPr>
        <w:t>本工程为新建一座钢灰库，灰库底部设有两个卸料口，分别对应干灰卸料系统和湿式卸料系统。投标人的工作范围是从钢灰库本体、灰库库顶设备、灰库卸料系统。库底卸料系统包括干灰卸料系统和湿式卸料系统两个部分，干灰卸料系统包括干灰散装机（配排气风机）、气动蝶阀、电动给料机、手动蝶阀及附件；湿式卸料系统包括湿式双轴搅拌机、气动蝶阀、电动给料机、手动蝶阀及附件。灰库设备采用就地控制。具体包括系统内所需的就地操作箱、控制柜、电缆等设备及材料。</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3.2.2</w:t>
      </w:r>
      <w:r>
        <w:rPr>
          <w:rFonts w:hint="eastAsia" w:ascii="Times New Roman" w:hAnsi="Times New Roman" w:eastAsia="宋体"/>
          <w:bCs/>
          <w:sz w:val="24"/>
          <w:szCs w:val="24"/>
        </w:rPr>
        <w:t>新建后钢灰库容积为400m3。</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3.2.3</w:t>
      </w:r>
      <w:r>
        <w:rPr>
          <w:rFonts w:hint="eastAsia" w:ascii="Times New Roman" w:hAnsi="Times New Roman" w:eastAsia="宋体"/>
          <w:bCs/>
          <w:sz w:val="24"/>
          <w:szCs w:val="24"/>
        </w:rPr>
        <w:t>按原有灰库直径设计、设备层高度、斜撑位置、锥形斗口等均保持不变。</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3.2.4</w:t>
      </w:r>
      <w:r>
        <w:rPr>
          <w:rFonts w:hint="eastAsia" w:ascii="Times New Roman" w:hAnsi="Times New Roman" w:eastAsia="宋体"/>
          <w:bCs/>
          <w:sz w:val="24"/>
          <w:szCs w:val="24"/>
        </w:rPr>
        <w:t>原有钢灰库利旧的部分：</w:t>
      </w:r>
    </w:p>
    <w:tbl>
      <w:tblPr>
        <w:tblStyle w:val="11"/>
        <w:tblW w:w="899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08"/>
        <w:gridCol w:w="2538"/>
        <w:gridCol w:w="4554"/>
        <w:gridCol w:w="119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08" w:type="dxa"/>
            <w:vAlign w:val="top"/>
          </w:tcPr>
          <w:p>
            <w:pPr>
              <w:spacing w:line="300" w:lineRule="exact"/>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序号</w:t>
            </w:r>
          </w:p>
        </w:tc>
        <w:tc>
          <w:tcPr>
            <w:tcW w:w="2538" w:type="dxa"/>
            <w:vAlign w:val="top"/>
          </w:tcPr>
          <w:p>
            <w:pPr>
              <w:spacing w:line="300" w:lineRule="exact"/>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灰库部件名称</w:t>
            </w:r>
          </w:p>
        </w:tc>
        <w:tc>
          <w:tcPr>
            <w:tcW w:w="4554" w:type="dxa"/>
            <w:vAlign w:val="top"/>
          </w:tcPr>
          <w:p>
            <w:pPr>
              <w:spacing w:line="300" w:lineRule="exact"/>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说   明</w:t>
            </w:r>
          </w:p>
        </w:tc>
        <w:tc>
          <w:tcPr>
            <w:tcW w:w="1192" w:type="dxa"/>
            <w:vAlign w:val="top"/>
          </w:tcPr>
          <w:p>
            <w:pPr>
              <w:spacing w:line="300" w:lineRule="exact"/>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是否利旧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08" w:type="dxa"/>
            <w:vAlign w:val="top"/>
          </w:tcPr>
          <w:p>
            <w:pPr>
              <w:spacing w:line="300" w:lineRule="exact"/>
              <w:jc w:val="center"/>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1</w:t>
            </w:r>
          </w:p>
        </w:tc>
        <w:tc>
          <w:tcPr>
            <w:tcW w:w="2538"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立柱</w:t>
            </w:r>
          </w:p>
        </w:tc>
        <w:tc>
          <w:tcPr>
            <w:tcW w:w="4554"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四根立柱，养护较好，少有锈蚀，可利旧。</w:t>
            </w:r>
          </w:p>
        </w:tc>
        <w:tc>
          <w:tcPr>
            <w:tcW w:w="1192"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08" w:type="dxa"/>
            <w:vAlign w:val="top"/>
          </w:tcPr>
          <w:p>
            <w:pPr>
              <w:spacing w:line="300" w:lineRule="exact"/>
              <w:jc w:val="center"/>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2</w:t>
            </w:r>
          </w:p>
        </w:tc>
        <w:tc>
          <w:tcPr>
            <w:tcW w:w="2538"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5m设备平台</w:t>
            </w:r>
          </w:p>
        </w:tc>
        <w:tc>
          <w:tcPr>
            <w:tcW w:w="4554"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利旧</w:t>
            </w:r>
          </w:p>
        </w:tc>
        <w:tc>
          <w:tcPr>
            <w:tcW w:w="1192"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08" w:type="dxa"/>
            <w:vAlign w:val="top"/>
          </w:tcPr>
          <w:p>
            <w:pPr>
              <w:spacing w:line="300" w:lineRule="exact"/>
              <w:jc w:val="center"/>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3</w:t>
            </w:r>
          </w:p>
        </w:tc>
        <w:tc>
          <w:tcPr>
            <w:tcW w:w="2538"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裙座</w:t>
            </w:r>
          </w:p>
        </w:tc>
        <w:tc>
          <w:tcPr>
            <w:tcW w:w="4554"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养护较好，少有锈蚀，可利旧。</w:t>
            </w:r>
          </w:p>
        </w:tc>
        <w:tc>
          <w:tcPr>
            <w:tcW w:w="1192" w:type="dxa"/>
            <w:vAlign w:val="center"/>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08" w:type="dxa"/>
            <w:vAlign w:val="top"/>
          </w:tcPr>
          <w:p>
            <w:pPr>
              <w:spacing w:line="300" w:lineRule="exact"/>
              <w:jc w:val="center"/>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4</w:t>
            </w:r>
          </w:p>
        </w:tc>
        <w:tc>
          <w:tcPr>
            <w:tcW w:w="2538"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锥形灰斗</w:t>
            </w:r>
          </w:p>
        </w:tc>
        <w:tc>
          <w:tcPr>
            <w:tcW w:w="4554"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养护较好，少有锈蚀，可利旧。</w:t>
            </w:r>
          </w:p>
        </w:tc>
        <w:tc>
          <w:tcPr>
            <w:tcW w:w="1192" w:type="dxa"/>
            <w:vAlign w:val="center"/>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08" w:type="dxa"/>
            <w:vAlign w:val="top"/>
          </w:tcPr>
          <w:p>
            <w:pPr>
              <w:spacing w:line="300" w:lineRule="exact"/>
              <w:jc w:val="center"/>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5</w:t>
            </w:r>
          </w:p>
        </w:tc>
        <w:tc>
          <w:tcPr>
            <w:tcW w:w="2538"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走梯、平台及栏杆</w:t>
            </w:r>
          </w:p>
        </w:tc>
        <w:tc>
          <w:tcPr>
            <w:tcW w:w="4554"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养护较好，少有锈蚀，可利旧。</w:t>
            </w:r>
          </w:p>
        </w:tc>
        <w:tc>
          <w:tcPr>
            <w:tcW w:w="1192" w:type="dxa"/>
            <w:vAlign w:val="center"/>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是</w:t>
            </w:r>
          </w:p>
        </w:tc>
      </w:tr>
    </w:tbl>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注：上表中所描述的利旧部分，各招标人需踏勘现场确定。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3.2.5</w:t>
      </w:r>
      <w:r>
        <w:rPr>
          <w:rFonts w:hint="eastAsia" w:ascii="Times New Roman" w:hAnsi="Times New Roman" w:eastAsia="宋体"/>
          <w:bCs/>
          <w:sz w:val="24"/>
          <w:szCs w:val="24"/>
        </w:rPr>
        <w:t>原有灰库设备利旧的部分：</w:t>
      </w:r>
    </w:p>
    <w:tbl>
      <w:tblPr>
        <w:tblStyle w:val="11"/>
        <w:tblW w:w="9056"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44"/>
        <w:gridCol w:w="2484"/>
        <w:gridCol w:w="4596"/>
        <w:gridCol w:w="123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44" w:type="dxa"/>
            <w:vAlign w:val="top"/>
          </w:tcPr>
          <w:p>
            <w:pPr>
              <w:spacing w:line="300" w:lineRule="exact"/>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序号</w:t>
            </w:r>
          </w:p>
        </w:tc>
        <w:tc>
          <w:tcPr>
            <w:tcW w:w="2484" w:type="dxa"/>
            <w:vAlign w:val="top"/>
          </w:tcPr>
          <w:p>
            <w:pPr>
              <w:spacing w:line="300" w:lineRule="exact"/>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灰库部件名称</w:t>
            </w:r>
          </w:p>
        </w:tc>
        <w:tc>
          <w:tcPr>
            <w:tcW w:w="4596" w:type="dxa"/>
            <w:vAlign w:val="top"/>
          </w:tcPr>
          <w:p>
            <w:pPr>
              <w:spacing w:line="300" w:lineRule="exact"/>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说   明</w:t>
            </w:r>
          </w:p>
        </w:tc>
        <w:tc>
          <w:tcPr>
            <w:tcW w:w="1232" w:type="dxa"/>
            <w:vAlign w:val="top"/>
          </w:tcPr>
          <w:p>
            <w:pPr>
              <w:spacing w:line="300" w:lineRule="exact"/>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是否利旧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44" w:type="dxa"/>
            <w:vAlign w:val="top"/>
          </w:tcPr>
          <w:p>
            <w:pPr>
              <w:spacing w:line="300" w:lineRule="exact"/>
              <w:jc w:val="center"/>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1</w:t>
            </w:r>
          </w:p>
        </w:tc>
        <w:tc>
          <w:tcPr>
            <w:tcW w:w="2484"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湿式搅拌机</w:t>
            </w:r>
          </w:p>
        </w:tc>
        <w:tc>
          <w:tcPr>
            <w:tcW w:w="4596"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型号为SJB-100，出力80t/h。需检修后利旧。</w:t>
            </w:r>
          </w:p>
        </w:tc>
        <w:tc>
          <w:tcPr>
            <w:tcW w:w="1232"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部分利旧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44" w:type="dxa"/>
            <w:vAlign w:val="top"/>
          </w:tcPr>
          <w:p>
            <w:pPr>
              <w:spacing w:line="300" w:lineRule="exact"/>
              <w:jc w:val="center"/>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2</w:t>
            </w:r>
          </w:p>
        </w:tc>
        <w:tc>
          <w:tcPr>
            <w:tcW w:w="2484"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散装机</w:t>
            </w:r>
          </w:p>
        </w:tc>
        <w:tc>
          <w:tcPr>
            <w:tcW w:w="4596"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型号为SZ-25，出力80t/h。需检修后利旧。</w:t>
            </w:r>
          </w:p>
        </w:tc>
        <w:tc>
          <w:tcPr>
            <w:tcW w:w="1232"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44" w:type="dxa"/>
            <w:vAlign w:val="top"/>
          </w:tcPr>
          <w:p>
            <w:pPr>
              <w:spacing w:line="300" w:lineRule="exact"/>
              <w:jc w:val="center"/>
              <w:rPr>
                <w:rFonts w:hint="eastAsia" w:ascii="Times New Roman" w:hAnsi="Times New Roman" w:eastAsia="宋体" w:cs="宋体"/>
                <w:b/>
                <w:color w:val="000000"/>
                <w:kern w:val="0"/>
                <w:sz w:val="21"/>
                <w:szCs w:val="21"/>
              </w:rPr>
            </w:pPr>
            <w:r>
              <w:rPr>
                <w:rFonts w:hint="eastAsia" w:ascii="Times New Roman" w:hAnsi="Times New Roman" w:eastAsia="宋体" w:cs="宋体"/>
                <w:b/>
                <w:color w:val="000000"/>
                <w:kern w:val="0"/>
                <w:sz w:val="21"/>
                <w:szCs w:val="21"/>
              </w:rPr>
              <w:t>3</w:t>
            </w:r>
          </w:p>
        </w:tc>
        <w:tc>
          <w:tcPr>
            <w:tcW w:w="2484"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人孔门</w:t>
            </w:r>
          </w:p>
        </w:tc>
        <w:tc>
          <w:tcPr>
            <w:tcW w:w="4596"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腐蚀不严重，可利旧。</w:t>
            </w:r>
          </w:p>
        </w:tc>
        <w:tc>
          <w:tcPr>
            <w:tcW w:w="1232" w:type="dxa"/>
            <w:vAlign w:val="top"/>
          </w:tcPr>
          <w:p>
            <w:pPr>
              <w:spacing w:line="300" w:lineRule="exact"/>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是</w:t>
            </w:r>
          </w:p>
        </w:tc>
      </w:tr>
    </w:tbl>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注：上表中所描述的利旧部分，各招标人需踏勘现场确定。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3.2.6</w:t>
      </w:r>
      <w:r>
        <w:rPr>
          <w:rFonts w:hint="eastAsia" w:ascii="Times New Roman" w:hAnsi="Times New Roman" w:eastAsia="宋体"/>
          <w:bCs/>
          <w:sz w:val="24"/>
          <w:szCs w:val="24"/>
        </w:rPr>
        <w:t>库底配置干、湿二种出灰方式，出力均为80t/h。</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3.2.7</w:t>
      </w:r>
      <w:r>
        <w:rPr>
          <w:rFonts w:hint="eastAsia" w:ascii="Times New Roman" w:hAnsi="Times New Roman" w:eastAsia="宋体"/>
          <w:bCs/>
          <w:sz w:val="24"/>
          <w:szCs w:val="24"/>
        </w:rPr>
        <w:t>新上一台布袋除尘器，清灰方式为脉冲反吹式，含一台引风机，粉尘排放浓度标准≤10mg/Nm。</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3.2.8</w:t>
      </w:r>
      <w:r>
        <w:rPr>
          <w:rFonts w:hint="eastAsia" w:ascii="Times New Roman" w:hAnsi="Times New Roman" w:eastAsia="宋体"/>
          <w:bCs/>
          <w:sz w:val="24"/>
          <w:szCs w:val="24"/>
        </w:rPr>
        <w:t>灰库的顶部配置一台真空压力释放阀。</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3.2.9</w:t>
      </w:r>
      <w:r>
        <w:rPr>
          <w:rFonts w:hint="eastAsia" w:ascii="Times New Roman" w:hAnsi="Times New Roman" w:eastAsia="宋体"/>
          <w:bCs/>
          <w:sz w:val="24"/>
          <w:szCs w:val="24"/>
        </w:rPr>
        <w:t>钢灰库一般为锥底灰库，气化装置不常用，为防止出现灰拱等问题，灰库底部设置8套气化装置。</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3.2.10</w:t>
      </w:r>
      <w:r>
        <w:rPr>
          <w:rFonts w:hint="eastAsia" w:ascii="Times New Roman" w:hAnsi="Times New Roman" w:eastAsia="宋体"/>
          <w:bCs/>
          <w:sz w:val="24"/>
          <w:szCs w:val="24"/>
        </w:rPr>
        <w:t>灰库配置两挡高位料位开关报警器。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3.2.11</w:t>
      </w:r>
      <w:r>
        <w:rPr>
          <w:rFonts w:hint="eastAsia" w:ascii="Times New Roman" w:hAnsi="Times New Roman" w:eastAsia="宋体"/>
          <w:bCs/>
          <w:sz w:val="24"/>
          <w:szCs w:val="24"/>
        </w:rPr>
        <w:t>钢灰库的干、湿卸灰、布袋除尘器采用就地控制，控制箱放置设备旁。箱体材质选用304不锈钢，柜体内的铰链及门锁材质为304不锈钢，控制箱采用双层门，外层门配置有机玻璃；动力柜、现场检修箱采用单层门，箱顶设有防水屋檐，柜体防护等级为IP65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3.2.12</w:t>
      </w:r>
      <w:r>
        <w:rPr>
          <w:rFonts w:hint="eastAsia" w:ascii="Times New Roman" w:hAnsi="Times New Roman" w:eastAsia="宋体"/>
          <w:bCs/>
          <w:sz w:val="24"/>
          <w:szCs w:val="24"/>
        </w:rPr>
        <w:t xml:space="preserve">动力柜除了满足现场所需回路外，需预留不少于40%以上的备用回路。现场检修箱应配置2P、3P漏保开关各2路，还应设12V/36V 检修照明电源。 </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3.2.13</w:t>
      </w:r>
      <w:r>
        <w:rPr>
          <w:rFonts w:hint="eastAsia" w:ascii="Times New Roman" w:hAnsi="Times New Roman" w:eastAsia="宋体"/>
          <w:bCs/>
          <w:sz w:val="24"/>
          <w:szCs w:val="24"/>
        </w:rPr>
        <w:t>动力电缆采用0.6/1.0KV交联聚乙烯绝缘聚氯乙烯阻燃铜芯电力电缆，控制电缆采用0.45/0.75kV交联聚乙烯绝缘聚氯乙烯护套阻燃铜芯控制电缆，控制电缆备用芯不少于 15%。动力柜、电控柜、照明配电箱、现场检修箱电源进线需采用五芯动力电缆。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3.2.14</w:t>
      </w:r>
      <w:r>
        <w:rPr>
          <w:rFonts w:hint="eastAsia" w:ascii="Times New Roman" w:hAnsi="Times New Roman" w:eastAsia="宋体"/>
          <w:bCs/>
          <w:sz w:val="24"/>
          <w:szCs w:val="24"/>
        </w:rPr>
        <w:t>电缆桥架为热浸锌覆膜防腐处理, 要求表面光滑平整无毛刺。桥架配置的扣件、连接片、连接螺栓等附配件的材质必须为不锈钢，需随桥架敷设通条热浸锌接地扁钢。</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3.2.15</w:t>
      </w:r>
      <w:r>
        <w:rPr>
          <w:rFonts w:hint="eastAsia" w:ascii="Times New Roman" w:hAnsi="Times New Roman" w:eastAsia="宋体"/>
          <w:bCs/>
          <w:sz w:val="24"/>
          <w:szCs w:val="24"/>
        </w:rPr>
        <w:t>电动机选用新型高效节能电机，YE4 及以上，能效必须在二级及二级以上。</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3.2.16</w:t>
      </w:r>
      <w:r>
        <w:rPr>
          <w:rFonts w:hint="eastAsia" w:ascii="Times New Roman" w:hAnsi="Times New Roman" w:eastAsia="宋体"/>
          <w:bCs/>
          <w:sz w:val="24"/>
          <w:szCs w:val="24"/>
        </w:rPr>
        <w:t>电控箱元器件选型要求采用国产一线品牌，接触器选用 AC-3 类型接触器。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3.2.17</w:t>
      </w:r>
      <w:r>
        <w:rPr>
          <w:rFonts w:hint="eastAsia" w:ascii="Times New Roman" w:hAnsi="Times New Roman" w:eastAsia="宋体"/>
          <w:bCs/>
          <w:sz w:val="24"/>
          <w:szCs w:val="24"/>
        </w:rPr>
        <w:t>值班室、配电室、备件室及煤化验室等处采用LED照明。钢灰库及室外场所均采用防腐、防水、防尘一体化灯具 LED 泛光灯具，防护等级 IP65 以上，采用304不锈钢材质紧固件锁紧。</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3.2.18</w:t>
      </w:r>
      <w:r>
        <w:rPr>
          <w:rFonts w:hint="eastAsia" w:ascii="Times New Roman" w:hAnsi="Times New Roman" w:eastAsia="宋体"/>
          <w:bCs/>
          <w:sz w:val="24"/>
          <w:szCs w:val="24"/>
        </w:rPr>
        <w:t>所有电动机、控制箱、动力柜、配电箱及其它电气设备的金属外壳、接地母线，金属构架，电缆管道，电缆桥架、电缆的屏蔽层和其它可能会偶然带电的金属物件、管道等牢固可靠地连接到主接地网上。该接地网并入公司主接地网。</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
          <w:bCs w:val="0"/>
          <w:sz w:val="24"/>
          <w:szCs w:val="24"/>
          <w:lang w:val="en-US" w:eastAsia="zh-CN"/>
        </w:rPr>
        <w:t>3.3</w:t>
      </w:r>
      <w:r>
        <w:rPr>
          <w:rFonts w:hint="eastAsia" w:ascii="Times New Roman" w:hAnsi="Times New Roman" w:eastAsia="宋体"/>
          <w:b/>
          <w:bCs w:val="0"/>
          <w:sz w:val="24"/>
          <w:szCs w:val="24"/>
        </w:rPr>
        <w:t>设备供货清单、注明型号、数量及生产厂家的说明表</w:t>
      </w:r>
    </w:p>
    <w:tbl>
      <w:tblPr>
        <w:tblStyle w:val="11"/>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2720"/>
        <w:gridCol w:w="2478"/>
        <w:gridCol w:w="1397"/>
        <w:gridCol w:w="1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序号</w:t>
            </w:r>
          </w:p>
        </w:tc>
        <w:tc>
          <w:tcPr>
            <w:tcW w:w="2720"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名称</w:t>
            </w:r>
          </w:p>
        </w:tc>
        <w:tc>
          <w:tcPr>
            <w:tcW w:w="2478"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规格及型号</w:t>
            </w:r>
          </w:p>
        </w:tc>
        <w:tc>
          <w:tcPr>
            <w:tcW w:w="1397"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数量</w:t>
            </w:r>
          </w:p>
        </w:tc>
        <w:tc>
          <w:tcPr>
            <w:tcW w:w="1858"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钢灰库</w:t>
            </w:r>
          </w:p>
        </w:tc>
        <w:tc>
          <w:tcPr>
            <w:tcW w:w="2478"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容积400m</w:t>
            </w:r>
            <w:r>
              <w:rPr>
                <w:rFonts w:hint="eastAsia" w:ascii="Times New Roman" w:hAnsi="Times New Roman" w:eastAsia="宋体"/>
                <w:color w:val="000000"/>
                <w:kern w:val="0"/>
                <w:szCs w:val="21"/>
                <w:vertAlign w:val="superscript"/>
              </w:rPr>
              <w:t>3</w:t>
            </w:r>
          </w:p>
        </w:tc>
        <w:tc>
          <w:tcPr>
            <w:tcW w:w="1397"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1座</w:t>
            </w: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库顶布袋除尘器（含风机）</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压力释放阀</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湿式搅拌机</w:t>
            </w:r>
          </w:p>
        </w:tc>
        <w:tc>
          <w:tcPr>
            <w:tcW w:w="2478"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SJB-100，出力80t/h</w:t>
            </w:r>
          </w:p>
        </w:tc>
        <w:tc>
          <w:tcPr>
            <w:tcW w:w="1397"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1台</w:t>
            </w:r>
          </w:p>
        </w:tc>
        <w:tc>
          <w:tcPr>
            <w:tcW w:w="1858"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散装机</w:t>
            </w:r>
          </w:p>
        </w:tc>
        <w:tc>
          <w:tcPr>
            <w:tcW w:w="2478"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SZ-25，出力80t/h</w:t>
            </w:r>
          </w:p>
        </w:tc>
        <w:tc>
          <w:tcPr>
            <w:tcW w:w="1397"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1台</w:t>
            </w:r>
          </w:p>
        </w:tc>
        <w:tc>
          <w:tcPr>
            <w:tcW w:w="1858"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手动检修阀</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气动阀</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电动给料机</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伸缩节</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气化装置</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控水阀组</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气化阀组</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各种气管</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法兰及连接件</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干湿卸灰</w:t>
            </w:r>
            <w:r>
              <w:rPr>
                <w:rFonts w:hint="eastAsia" w:ascii="Times New Roman" w:hAnsi="Times New Roman" w:eastAsia="宋体" w:cs="宋体"/>
                <w:szCs w:val="21"/>
              </w:rPr>
              <w:t>、布袋除尘</w:t>
            </w:r>
            <w:r>
              <w:rPr>
                <w:rFonts w:hint="eastAsia" w:ascii="Times New Roman" w:hAnsi="Times New Roman" w:eastAsia="宋体"/>
                <w:color w:val="000000"/>
                <w:kern w:val="0"/>
                <w:szCs w:val="21"/>
              </w:rPr>
              <w:t>电控柜</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动力柜</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安装</w:t>
            </w:r>
            <w:r>
              <w:rPr>
                <w:rFonts w:hint="eastAsia" w:ascii="Times New Roman" w:hAnsi="Times New Roman" w:eastAsia="宋体"/>
                <w:kern w:val="0"/>
                <w:szCs w:val="21"/>
              </w:rPr>
              <w:t>在现场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s="宋体"/>
                <w:szCs w:val="21"/>
              </w:rPr>
            </w:pPr>
            <w:r>
              <w:rPr>
                <w:rFonts w:hint="eastAsia" w:ascii="Times New Roman" w:hAnsi="Times New Roman" w:eastAsia="宋体" w:cs="宋体"/>
                <w:szCs w:val="21"/>
              </w:rPr>
              <w:t>灰库高位料位开关报警器</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电缆等</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电动机</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 w:val="18"/>
                <w:szCs w:val="18"/>
              </w:rPr>
            </w:pPr>
            <w:r>
              <w:rPr>
                <w:rFonts w:hint="eastAsia" w:ascii="Times New Roman" w:hAnsi="Times New Roman" w:eastAsia="宋体"/>
                <w:color w:val="000000"/>
                <w:kern w:val="0"/>
                <w:sz w:val="18"/>
                <w:szCs w:val="18"/>
              </w:rPr>
              <w:t>满足项目所需</w:t>
            </w: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现场检修箱</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1</w:t>
            </w: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塑壳断路器</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 w:val="18"/>
                <w:szCs w:val="18"/>
              </w:rPr>
            </w:pPr>
            <w:r>
              <w:rPr>
                <w:rFonts w:hint="eastAsia" w:ascii="Times New Roman" w:hAnsi="Times New Roman" w:eastAsia="宋体"/>
                <w:color w:val="000000"/>
                <w:kern w:val="0"/>
                <w:sz w:val="18"/>
                <w:szCs w:val="18"/>
              </w:rPr>
              <w:t>满足项目所需</w:t>
            </w: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接触器</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 w:val="18"/>
                <w:szCs w:val="18"/>
              </w:rPr>
            </w:pPr>
            <w:r>
              <w:rPr>
                <w:rFonts w:hint="eastAsia" w:ascii="Times New Roman" w:hAnsi="Times New Roman" w:eastAsia="宋体"/>
                <w:color w:val="000000"/>
                <w:kern w:val="0"/>
                <w:sz w:val="18"/>
                <w:szCs w:val="18"/>
              </w:rPr>
              <w:t>满足项目所需</w:t>
            </w: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热继电器</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 w:val="18"/>
                <w:szCs w:val="18"/>
              </w:rPr>
            </w:pPr>
            <w:r>
              <w:rPr>
                <w:rFonts w:hint="eastAsia" w:ascii="Times New Roman" w:hAnsi="Times New Roman" w:eastAsia="宋体"/>
                <w:color w:val="000000"/>
                <w:kern w:val="0"/>
                <w:sz w:val="18"/>
                <w:szCs w:val="18"/>
              </w:rPr>
              <w:t>满足项目所需</w:t>
            </w: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灰库照明（含配电箱）</w:t>
            </w:r>
          </w:p>
        </w:tc>
        <w:tc>
          <w:tcPr>
            <w:tcW w:w="2478" w:type="dxa"/>
            <w:vAlign w:val="center"/>
          </w:tcPr>
          <w:p>
            <w:pPr>
              <w:spacing w:line="240" w:lineRule="auto"/>
              <w:jc w:val="center"/>
              <w:rPr>
                <w:rFonts w:ascii="Times New Roman" w:hAnsi="Times New Roman" w:eastAsia="宋体"/>
                <w:color w:val="000000"/>
                <w:kern w:val="0"/>
                <w:szCs w:val="21"/>
              </w:rPr>
            </w:pPr>
            <w:r>
              <w:rPr>
                <w:rFonts w:hint="eastAsia" w:ascii="Times New Roman" w:hAnsi="Times New Roman" w:eastAsia="宋体"/>
                <w:color w:val="000000"/>
                <w:kern w:val="0"/>
                <w:szCs w:val="21"/>
              </w:rPr>
              <w:t>LED灯具</w:t>
            </w:r>
          </w:p>
        </w:tc>
        <w:tc>
          <w:tcPr>
            <w:tcW w:w="1397" w:type="dxa"/>
            <w:vAlign w:val="center"/>
          </w:tcPr>
          <w:p>
            <w:pPr>
              <w:spacing w:line="240" w:lineRule="auto"/>
              <w:jc w:val="center"/>
              <w:rPr>
                <w:rFonts w:ascii="Times New Roman" w:hAnsi="Times New Roman" w:eastAsia="宋体"/>
                <w:color w:val="000000"/>
                <w:kern w:val="0"/>
                <w:sz w:val="18"/>
                <w:szCs w:val="18"/>
              </w:rPr>
            </w:pPr>
            <w:r>
              <w:rPr>
                <w:rFonts w:hint="eastAsia" w:ascii="Times New Roman" w:hAnsi="Times New Roman" w:eastAsia="宋体"/>
                <w:color w:val="000000"/>
                <w:kern w:val="0"/>
                <w:sz w:val="18"/>
                <w:szCs w:val="18"/>
              </w:rPr>
              <w:t>根据现场所需</w:t>
            </w: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输送管</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弯头</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无缝钢管</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35" w:type="dxa"/>
            <w:vAlign w:val="center"/>
          </w:tcPr>
          <w:p>
            <w:pPr>
              <w:numPr>
                <w:ilvl w:val="0"/>
                <w:numId w:val="1"/>
              </w:numPr>
              <w:spacing w:line="240" w:lineRule="auto"/>
              <w:ind w:left="0" w:leftChars="0" w:firstLine="0" w:firstLineChars="0"/>
              <w:jc w:val="center"/>
              <w:rPr>
                <w:rFonts w:ascii="Times New Roman" w:hAnsi="Times New Roman" w:eastAsia="宋体"/>
                <w:color w:val="000000"/>
                <w:kern w:val="0"/>
                <w:szCs w:val="21"/>
              </w:rPr>
            </w:pPr>
          </w:p>
        </w:tc>
        <w:tc>
          <w:tcPr>
            <w:tcW w:w="2720" w:type="dxa"/>
            <w:vAlign w:val="center"/>
          </w:tcPr>
          <w:p>
            <w:pPr>
              <w:spacing w:line="240" w:lineRule="auto"/>
              <w:jc w:val="both"/>
              <w:rPr>
                <w:rFonts w:ascii="Times New Roman" w:hAnsi="Times New Roman" w:eastAsia="宋体"/>
                <w:color w:val="000000"/>
                <w:kern w:val="0"/>
                <w:szCs w:val="21"/>
              </w:rPr>
            </w:pPr>
            <w:r>
              <w:rPr>
                <w:rFonts w:hint="eastAsia" w:ascii="Times New Roman" w:hAnsi="Times New Roman" w:eastAsia="宋体"/>
                <w:color w:val="000000"/>
                <w:kern w:val="0"/>
                <w:szCs w:val="21"/>
              </w:rPr>
              <w:t>支架材料</w:t>
            </w:r>
          </w:p>
        </w:tc>
        <w:tc>
          <w:tcPr>
            <w:tcW w:w="2478" w:type="dxa"/>
            <w:vAlign w:val="center"/>
          </w:tcPr>
          <w:p>
            <w:pPr>
              <w:spacing w:line="240" w:lineRule="auto"/>
              <w:jc w:val="center"/>
              <w:rPr>
                <w:rFonts w:ascii="Times New Roman" w:hAnsi="Times New Roman" w:eastAsia="宋体"/>
                <w:color w:val="000000"/>
                <w:kern w:val="0"/>
                <w:szCs w:val="21"/>
              </w:rPr>
            </w:pPr>
          </w:p>
        </w:tc>
        <w:tc>
          <w:tcPr>
            <w:tcW w:w="1397" w:type="dxa"/>
            <w:vAlign w:val="center"/>
          </w:tcPr>
          <w:p>
            <w:pPr>
              <w:spacing w:line="240" w:lineRule="auto"/>
              <w:jc w:val="center"/>
              <w:rPr>
                <w:rFonts w:ascii="Times New Roman" w:hAnsi="Times New Roman" w:eastAsia="宋体"/>
                <w:color w:val="000000"/>
                <w:kern w:val="0"/>
                <w:szCs w:val="21"/>
              </w:rPr>
            </w:pPr>
          </w:p>
        </w:tc>
        <w:tc>
          <w:tcPr>
            <w:tcW w:w="1858" w:type="dxa"/>
            <w:vAlign w:val="center"/>
          </w:tcPr>
          <w:p>
            <w:pPr>
              <w:spacing w:line="240" w:lineRule="auto"/>
              <w:jc w:val="center"/>
              <w:rPr>
                <w:rFonts w:ascii="Times New Roman" w:hAnsi="Times New Roman" w:eastAsia="宋体"/>
                <w:color w:val="000000"/>
                <w:kern w:val="0"/>
                <w:szCs w:val="21"/>
              </w:rPr>
            </w:pPr>
          </w:p>
        </w:tc>
      </w:tr>
    </w:tbl>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
          <w:bCs w:val="0"/>
          <w:sz w:val="24"/>
          <w:szCs w:val="24"/>
          <w:lang w:val="en-US" w:eastAsia="zh-CN"/>
        </w:rPr>
        <w:t>3.4</w:t>
      </w:r>
      <w:r>
        <w:rPr>
          <w:rFonts w:hint="eastAsia" w:ascii="Times New Roman" w:hAnsi="Times New Roman" w:eastAsia="宋体"/>
          <w:b/>
          <w:bCs w:val="0"/>
          <w:sz w:val="24"/>
          <w:szCs w:val="24"/>
        </w:rPr>
        <w:t>技术文件要求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3.4.1</w:t>
      </w:r>
      <w:r>
        <w:rPr>
          <w:rFonts w:hint="eastAsia" w:ascii="Times New Roman" w:hAnsi="Times New Roman" w:eastAsia="宋体"/>
          <w:bCs/>
          <w:sz w:val="24"/>
          <w:szCs w:val="24"/>
        </w:rPr>
        <w:t>投标人提供的技术文件和图纸清晰、正确。中标人提供的资料与所提供的系统准确一致，满足本工程需要，并装订成册提供给招标方。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3.4.2</w:t>
      </w:r>
      <w:r>
        <w:rPr>
          <w:rFonts w:hint="eastAsia" w:ascii="Times New Roman" w:hAnsi="Times New Roman" w:eastAsia="宋体"/>
          <w:bCs/>
          <w:sz w:val="24"/>
          <w:szCs w:val="24"/>
        </w:rPr>
        <w:t>土建部分可由投标人自行选择有资质的设计单位及施工单位进行合作，设计需提供正式有资质的图纸。</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3.4.3</w:t>
      </w:r>
      <w:r>
        <w:rPr>
          <w:rFonts w:hint="eastAsia" w:ascii="Times New Roman" w:hAnsi="Times New Roman" w:eastAsia="宋体"/>
          <w:bCs/>
          <w:sz w:val="24"/>
          <w:szCs w:val="24"/>
        </w:rPr>
        <w:t>投标人在各个阶段所提供的技术文件和图纸，满足施工的进度要求。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3.4.4</w:t>
      </w:r>
      <w:r>
        <w:rPr>
          <w:rFonts w:hint="eastAsia" w:ascii="Times New Roman" w:hAnsi="Times New Roman" w:eastAsia="宋体"/>
          <w:bCs/>
          <w:sz w:val="24"/>
          <w:szCs w:val="24"/>
        </w:rPr>
        <w:t>技术协议签订后提供的文件：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钢灰库设计图</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灰库设备布置图</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钢灰库基础设计图</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所有盘内接线图、端子排出线图</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所有盘箱柜的盘内及盘面设备布置图P&amp;ID</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
          <w:bCs w:val="0"/>
          <w:sz w:val="24"/>
          <w:szCs w:val="24"/>
          <w:lang w:val="en-US" w:eastAsia="zh-CN"/>
        </w:rPr>
        <w:t>3.5</w:t>
      </w:r>
      <w:r>
        <w:rPr>
          <w:rFonts w:hint="eastAsia" w:ascii="Times New Roman" w:hAnsi="Times New Roman" w:eastAsia="宋体"/>
          <w:b/>
          <w:bCs w:val="0"/>
          <w:sz w:val="24"/>
          <w:szCs w:val="24"/>
        </w:rPr>
        <w:t>技术标准与规范的要求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 xml:space="preserve">投标人在设计过程中、选用设备、确定系统等，遵循以下规范与标准，也可采用不低于以下规范及标准的其他国际标准或中国国家标准。 </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GBJ17-88       钢结构设计规范</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JB/T8470-96     正压浓相气力除灰系统</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SDGJ11-90      火力发电厂除灰设计技术规范</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SDGJ59-84      火力发电厂热力设备和管道保温油漆设计技术规定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NDGJ16-89      火力发电厂热工自动化设计技术规定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DL/T589-1996   火力发电厂燃煤电站锅炉的热工检测控制技术导则</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
          <w:bCs w:val="0"/>
          <w:sz w:val="24"/>
          <w:szCs w:val="24"/>
          <w:lang w:val="en-US" w:eastAsia="zh-CN"/>
        </w:rPr>
        <w:t>3.6</w:t>
      </w:r>
      <w:r>
        <w:rPr>
          <w:rFonts w:hint="eastAsia" w:ascii="Times New Roman" w:hAnsi="Times New Roman" w:eastAsia="宋体"/>
          <w:b/>
          <w:bCs w:val="0"/>
          <w:sz w:val="24"/>
          <w:szCs w:val="24"/>
        </w:rPr>
        <w:t>平台、走台、防护栏杆等</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3.6.1</w:t>
      </w:r>
      <w:r>
        <w:rPr>
          <w:rFonts w:hint="eastAsia" w:ascii="Times New Roman" w:hAnsi="Times New Roman" w:eastAsia="宋体"/>
          <w:bCs/>
          <w:sz w:val="24"/>
          <w:szCs w:val="24"/>
        </w:rPr>
        <w:t>平台、走台、防护栏杆根据现场情况按国家标准配套，预留检修空间。</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3.6.2</w:t>
      </w:r>
      <w:r>
        <w:rPr>
          <w:rFonts w:hint="eastAsia" w:ascii="Times New Roman" w:hAnsi="Times New Roman" w:eastAsia="宋体"/>
          <w:bCs/>
          <w:sz w:val="24"/>
          <w:szCs w:val="24"/>
        </w:rPr>
        <w:t>投标人自行选择有资质的设计单位进行合作，设计并提供正式有资质的图纸。</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3.6.3</w:t>
      </w:r>
      <w:r>
        <w:rPr>
          <w:rFonts w:hint="eastAsia" w:ascii="Times New Roman" w:hAnsi="Times New Roman" w:eastAsia="宋体"/>
          <w:bCs/>
          <w:sz w:val="24"/>
          <w:szCs w:val="24"/>
        </w:rPr>
        <w:t>由中标人提供材料并安装。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
          <w:bCs w:val="0"/>
          <w:sz w:val="24"/>
          <w:szCs w:val="24"/>
          <w:lang w:val="en-US" w:eastAsia="zh-CN"/>
        </w:rPr>
        <w:t>3.7</w:t>
      </w:r>
      <w:r>
        <w:rPr>
          <w:rFonts w:hint="eastAsia" w:ascii="Times New Roman" w:hAnsi="Times New Roman" w:eastAsia="宋体"/>
          <w:b/>
          <w:bCs w:val="0"/>
          <w:sz w:val="24"/>
          <w:szCs w:val="24"/>
        </w:rPr>
        <w:t>安全技术要求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rPr>
      </w:pPr>
      <w:r>
        <w:rPr>
          <w:rFonts w:hint="eastAsia" w:ascii="Times New Roman" w:hAnsi="Times New Roman" w:eastAsia="宋体"/>
          <w:bCs/>
          <w:sz w:val="24"/>
          <w:szCs w:val="24"/>
        </w:rPr>
        <w:t>拆除施工现场的周围为木片堆场，属于重点防火区域，为杜绝施工造成周边堆场易燃生产物料及飞扬的木屑引起火灾隐患，施工方应具有安全生产许可证，项目设置专职安全员，投标人在投标时应提供项目技术方案，方案中应有安全措施及专项防火方案。落实项目责任人和现场专职安全管理员，建立健全工程项目安全规章制度和安全操作规程。</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sz w:val="24"/>
          <w:szCs w:val="24"/>
          <w:lang w:val="en-US" w:eastAsia="zh-CN"/>
        </w:rPr>
      </w:pPr>
      <w:r>
        <w:rPr>
          <w:rFonts w:hint="eastAsia" w:ascii="Times New Roman" w:hAnsi="Times New Roman" w:eastAsia="宋体"/>
          <w:b/>
          <w:bCs w:val="0"/>
          <w:sz w:val="24"/>
          <w:szCs w:val="24"/>
          <w:lang w:val="en-US" w:eastAsia="zh-CN"/>
        </w:rPr>
        <w:t>3.8其他要求</w:t>
      </w:r>
      <w:r>
        <w:rPr>
          <w:rFonts w:hint="eastAsia" w:ascii="Times New Roman" w:hAnsi="Times New Roman" w:eastAsia="宋体"/>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sz w:val="24"/>
          <w:szCs w:val="24"/>
          <w:lang w:val="en-US" w:eastAsia="zh-CN"/>
        </w:rPr>
      </w:pPr>
      <w:r>
        <w:rPr>
          <w:rFonts w:hint="eastAsia" w:ascii="Times New Roman" w:hAnsi="Times New Roman" w:eastAsia="宋体"/>
          <w:bCs/>
          <w:sz w:val="24"/>
          <w:szCs w:val="24"/>
          <w:lang w:val="en-US" w:eastAsia="zh-CN"/>
        </w:rPr>
        <w:t>所有有意向参与单位应与青山纸业热电厂进行详细技术交流（交流时投标人提供相应资质证明），否则视同放弃投标资格。</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lang w:val="en-US" w:eastAsia="zh-CN"/>
        </w:rPr>
        <w:t>4</w:t>
      </w:r>
      <w:r>
        <w:rPr>
          <w:rFonts w:hint="eastAsia" w:ascii="Times New Roman" w:hAnsi="Times New Roman" w:eastAsia="宋体"/>
          <w:b/>
          <w:sz w:val="24"/>
          <w:szCs w:val="24"/>
        </w:rPr>
        <w:t>.工期及地点</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4</w:t>
      </w:r>
      <w:r>
        <w:rPr>
          <w:rFonts w:hint="eastAsia" w:ascii="Times New Roman" w:hAnsi="Times New Roman" w:eastAsia="宋体"/>
          <w:bCs/>
          <w:sz w:val="24"/>
          <w:szCs w:val="24"/>
        </w:rPr>
        <w:t>.1工期：投标人承诺最短设备交货期及现场施工工期。</w:t>
      </w:r>
    </w:p>
    <w:p>
      <w:pPr>
        <w:spacing w:line="420" w:lineRule="exact"/>
        <w:ind w:firstLine="480" w:firstLineChars="200"/>
        <w:rPr>
          <w:rFonts w:ascii="Times New Roman" w:hAnsi="Times New Roman" w:eastAsia="宋体"/>
          <w:b/>
          <w:sz w:val="24"/>
          <w:szCs w:val="24"/>
        </w:rPr>
      </w:pPr>
      <w:r>
        <w:rPr>
          <w:rFonts w:hint="eastAsia" w:ascii="Times New Roman" w:hAnsi="Times New Roman" w:eastAsia="宋体"/>
          <w:bCs/>
          <w:sz w:val="24"/>
          <w:szCs w:val="24"/>
          <w:lang w:val="en-US" w:eastAsia="zh-CN"/>
        </w:rPr>
        <w:t>4</w:t>
      </w:r>
      <w:r>
        <w:rPr>
          <w:rFonts w:hint="eastAsia" w:ascii="Times New Roman" w:hAnsi="Times New Roman" w:eastAsia="宋体"/>
          <w:bCs/>
          <w:sz w:val="24"/>
          <w:szCs w:val="24"/>
        </w:rPr>
        <w:t>.2地点：福建省三明市沙县区青州镇福建省青山纸业股份有限公司指定区域内。</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lang w:val="en-US" w:eastAsia="zh-CN"/>
        </w:rPr>
        <w:t>5</w:t>
      </w:r>
      <w:r>
        <w:rPr>
          <w:rFonts w:hint="eastAsia" w:ascii="Times New Roman" w:hAnsi="Times New Roman" w:eastAsia="宋体"/>
          <w:b/>
          <w:sz w:val="24"/>
          <w:szCs w:val="24"/>
        </w:rPr>
        <w:t>.对投标人资格要求</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5</w:t>
      </w:r>
      <w:r>
        <w:rPr>
          <w:rFonts w:hint="eastAsia" w:ascii="Times New Roman" w:hAnsi="Times New Roman" w:eastAsia="宋体"/>
          <w:bCs/>
          <w:sz w:val="24"/>
          <w:szCs w:val="24"/>
        </w:rPr>
        <w:t>.1投标人应是具备独立法人资格，有资质和有能力提供服务、信用良好的国内企业。</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5.2</w:t>
      </w:r>
      <w:r>
        <w:rPr>
          <w:rFonts w:hint="eastAsia" w:ascii="Times New Roman" w:hAnsi="Times New Roman" w:eastAsia="宋体"/>
          <w:bCs/>
          <w:sz w:val="24"/>
          <w:szCs w:val="24"/>
        </w:rPr>
        <w:t>投标人的资质要求参照评标规则。施工区域为周边一级防火区，要求投标人的现场施工单位应具有安全生产许可证；项目专职安全员必须具有建设行政主管部门颁发的C类安全员资格证书。（证书必须属于投标人的现场施工单位并在标书体现）</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bCs/>
          <w:sz w:val="24"/>
          <w:szCs w:val="24"/>
          <w:lang w:val="en-US" w:eastAsia="zh-CN"/>
        </w:rPr>
        <w:t>6</w:t>
      </w:r>
      <w:r>
        <w:rPr>
          <w:rFonts w:hint="eastAsia" w:ascii="Times New Roman" w:hAnsi="Times New Roman" w:eastAsia="宋体"/>
          <w:b/>
          <w:bCs/>
          <w:sz w:val="24"/>
          <w:szCs w:val="24"/>
        </w:rPr>
        <w:t>.双方职责</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.1招标方负责提供现场照明、水源、施工电源（含费用），招标方负责现场清理至施工合理要求。</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2投标人应提供施工方案（包括安全措施），施工现场周边为一级防火区，中标方应提供专项防火施工方案。投标人需提供详细技术施工方案、施工工期，并按双方最终确定改造方案实施。投标人对改造方案的合理性、可行性负责，并应在投标时做出质量和技术指标的承诺。中标方制作完成应提供相关检验材料及证明。施工前须办理开工报告，并交纳安全保证金5000元。</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.3中标方包工包料（除利旧部分外）进行施工。项目所需的主材、辅材及焊接、打磨、修补的材料及施工均由中标方负责。</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.4施工方自备所有施工工具。</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.5运输费用、起重作业、脚手架、食宿由施工方负责。</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.6每道工序施工前必须由招标方指定人员确认前道工序合格后方可施工。</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7施工方在施工过程中应采取必要的安全防范措施，施工期确保招标方设备的安全，若施工方原因造成设备的损坏，施工方应负责赔偿损失。施工现场周边为一级防火区，为保证项目的安全管理工作，专职安全员均应到场，并尽职履行现场安全管理责任。</w:t>
      </w:r>
    </w:p>
    <w:p>
      <w:pPr>
        <w:spacing w:line="42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.8施工方在施工过程中废弃的物品应堆放在招标方指定的地点。</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.9施工方施工垃圾应及时清理干净，保持现场整洁。</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bCs/>
          <w:sz w:val="24"/>
          <w:szCs w:val="24"/>
          <w:lang w:val="en-US" w:eastAsia="zh-CN"/>
        </w:rPr>
        <w:t>7</w:t>
      </w:r>
      <w:r>
        <w:rPr>
          <w:rFonts w:hint="eastAsia" w:ascii="Times New Roman" w:hAnsi="Times New Roman" w:eastAsia="宋体"/>
          <w:b/>
          <w:bCs/>
          <w:sz w:val="24"/>
          <w:szCs w:val="24"/>
        </w:rPr>
        <w:t>.安全责任</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hint="eastAsia" w:ascii="Times New Roman" w:hAnsi="Times New Roman" w:eastAsia="宋体"/>
          <w:sz w:val="24"/>
          <w:szCs w:val="24"/>
        </w:rPr>
        <w:t>.1中标方</w:t>
      </w:r>
      <w:r>
        <w:rPr>
          <w:rFonts w:ascii="Times New Roman" w:hAnsi="Times New Roman" w:eastAsia="宋体"/>
          <w:sz w:val="24"/>
          <w:szCs w:val="24"/>
        </w:rPr>
        <w:t>在施工工程中必须严格遵守国家、建设部、福建省等有关安全技术规范及中华人民共和国现行的法律、法规、政策、规定和规章中关于安全、劳保、防疫、卫生的条例。</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.2</w:t>
      </w:r>
      <w:r>
        <w:rPr>
          <w:rFonts w:hint="eastAsia" w:ascii="Times New Roman" w:hAnsi="Times New Roman" w:eastAsia="宋体"/>
          <w:sz w:val="24"/>
          <w:szCs w:val="24"/>
        </w:rPr>
        <w:t>中标方</w:t>
      </w:r>
      <w:r>
        <w:rPr>
          <w:rFonts w:ascii="Times New Roman" w:hAnsi="Times New Roman" w:eastAsia="宋体"/>
          <w:sz w:val="24"/>
          <w:szCs w:val="24"/>
        </w:rPr>
        <w:t>必须对工作过程中的安全和损失预防的程序负责。</w:t>
      </w:r>
      <w:r>
        <w:rPr>
          <w:rFonts w:hint="eastAsia" w:ascii="Times New Roman" w:hAnsi="Times New Roman" w:eastAsia="宋体"/>
          <w:sz w:val="24"/>
          <w:szCs w:val="24"/>
        </w:rPr>
        <w:t>中标方</w:t>
      </w:r>
      <w:r>
        <w:rPr>
          <w:rFonts w:ascii="Times New Roman" w:hAnsi="Times New Roman" w:eastAsia="宋体"/>
          <w:sz w:val="24"/>
          <w:szCs w:val="24"/>
        </w:rPr>
        <w:t>施工前须按规定办理开工报告并交纳安全保证金5000元。</w:t>
      </w:r>
      <w:r>
        <w:rPr>
          <w:rFonts w:hint="eastAsia" w:ascii="Times New Roman" w:hAnsi="Times New Roman" w:eastAsia="宋体"/>
          <w:sz w:val="24"/>
          <w:szCs w:val="24"/>
        </w:rPr>
        <w:t>中标方</w:t>
      </w:r>
      <w:r>
        <w:rPr>
          <w:rFonts w:ascii="Times New Roman" w:hAnsi="Times New Roman" w:eastAsia="宋体"/>
          <w:sz w:val="24"/>
          <w:szCs w:val="24"/>
        </w:rPr>
        <w:t>施工前必须签署安全协议书。</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.3</w:t>
      </w:r>
      <w:r>
        <w:rPr>
          <w:rFonts w:hint="eastAsia" w:ascii="Times New Roman" w:hAnsi="Times New Roman" w:eastAsia="宋体"/>
          <w:sz w:val="24"/>
          <w:szCs w:val="24"/>
        </w:rPr>
        <w:t>招标方</w:t>
      </w:r>
      <w:r>
        <w:rPr>
          <w:rFonts w:ascii="Times New Roman" w:hAnsi="Times New Roman" w:eastAsia="宋体"/>
          <w:sz w:val="24"/>
          <w:szCs w:val="24"/>
        </w:rPr>
        <w:t>所支付管理费中已包含安全管理费用，</w:t>
      </w:r>
      <w:r>
        <w:rPr>
          <w:rFonts w:hint="eastAsia" w:ascii="Times New Roman" w:hAnsi="Times New Roman" w:eastAsia="宋体"/>
          <w:sz w:val="24"/>
          <w:szCs w:val="24"/>
        </w:rPr>
        <w:t>中标方</w:t>
      </w:r>
      <w:r>
        <w:rPr>
          <w:rFonts w:ascii="Times New Roman" w:hAnsi="Times New Roman" w:eastAsia="宋体"/>
          <w:sz w:val="24"/>
          <w:szCs w:val="24"/>
        </w:rPr>
        <w:t>应根据有关劳保规定发给其所属人员必要的个人防护用品，以保障安全。</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.4</w:t>
      </w:r>
      <w:r>
        <w:rPr>
          <w:rFonts w:hint="eastAsia" w:ascii="Times New Roman" w:hAnsi="Times New Roman" w:eastAsia="宋体"/>
          <w:sz w:val="24"/>
          <w:szCs w:val="24"/>
        </w:rPr>
        <w:t>中标方</w:t>
      </w:r>
      <w:r>
        <w:rPr>
          <w:rFonts w:ascii="Times New Roman" w:hAnsi="Times New Roman" w:eastAsia="宋体"/>
          <w:sz w:val="24"/>
          <w:szCs w:val="24"/>
        </w:rPr>
        <w:t>按有关规定，采取严格的安全防护措施。</w:t>
      </w:r>
      <w:r>
        <w:rPr>
          <w:rFonts w:hint="eastAsia" w:ascii="Times New Roman" w:hAnsi="Times New Roman" w:eastAsia="宋体"/>
          <w:sz w:val="24"/>
          <w:szCs w:val="24"/>
        </w:rPr>
        <w:t>中标方</w:t>
      </w:r>
      <w:r>
        <w:rPr>
          <w:rFonts w:ascii="Times New Roman" w:hAnsi="Times New Roman" w:eastAsia="宋体"/>
          <w:sz w:val="24"/>
          <w:szCs w:val="24"/>
        </w:rPr>
        <w:t>应承担该项目由于自身安全措施不力造成安全事故的责任和因此发生的费用。</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.5发生重大伤亡事故，</w:t>
      </w:r>
      <w:r>
        <w:rPr>
          <w:rFonts w:hint="eastAsia" w:ascii="Times New Roman" w:hAnsi="Times New Roman" w:eastAsia="宋体"/>
          <w:sz w:val="24"/>
          <w:szCs w:val="24"/>
        </w:rPr>
        <w:t>中标方</w:t>
      </w:r>
      <w:r>
        <w:rPr>
          <w:rFonts w:ascii="Times New Roman" w:hAnsi="Times New Roman" w:eastAsia="宋体"/>
          <w:sz w:val="24"/>
          <w:szCs w:val="24"/>
        </w:rPr>
        <w:t>应按有关规定立即上报有关部门并通知</w:t>
      </w:r>
      <w:r>
        <w:rPr>
          <w:rFonts w:hint="eastAsia" w:ascii="Times New Roman" w:hAnsi="Times New Roman" w:eastAsia="宋体"/>
          <w:sz w:val="24"/>
          <w:szCs w:val="24"/>
        </w:rPr>
        <w:t>招标方</w:t>
      </w:r>
      <w:r>
        <w:rPr>
          <w:rFonts w:ascii="Times New Roman" w:hAnsi="Times New Roman" w:eastAsia="宋体"/>
          <w:sz w:val="24"/>
          <w:szCs w:val="24"/>
        </w:rPr>
        <w:t>代表。同时按政府有关部门要求处理。</w:t>
      </w:r>
      <w:r>
        <w:rPr>
          <w:rFonts w:hint="eastAsia" w:ascii="Times New Roman" w:hAnsi="Times New Roman" w:eastAsia="宋体"/>
          <w:sz w:val="24"/>
          <w:szCs w:val="24"/>
        </w:rPr>
        <w:t>招标方</w:t>
      </w:r>
      <w:r>
        <w:rPr>
          <w:rFonts w:ascii="Times New Roman" w:hAnsi="Times New Roman" w:eastAsia="宋体"/>
          <w:sz w:val="24"/>
          <w:szCs w:val="24"/>
        </w:rPr>
        <w:t>为抢救提供必要条件。发生的费用由事故责任方承担。</w:t>
      </w:r>
    </w:p>
    <w:p>
      <w:pPr>
        <w:spacing w:line="42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lang w:val="en-US" w:eastAsia="zh-CN"/>
        </w:rPr>
        <w:t>8</w:t>
      </w:r>
      <w:r>
        <w:rPr>
          <w:rFonts w:hint="eastAsia" w:ascii="Times New Roman" w:hAnsi="Times New Roman" w:eastAsia="宋体"/>
          <w:b/>
          <w:sz w:val="24"/>
          <w:szCs w:val="24"/>
        </w:rPr>
        <w:t>.质量保证</w:t>
      </w:r>
      <w:r>
        <w:rPr>
          <w:rFonts w:hint="eastAsia" w:ascii="Times New Roman" w:hAnsi="Times New Roman" w:eastAsia="宋体"/>
          <w:bCs/>
          <w:sz w:val="24"/>
          <w:szCs w:val="24"/>
        </w:rPr>
        <w:t>：质量保证期为验收合格后12个月，投标人可承诺更长的质保期。</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lang w:val="en-US" w:eastAsia="zh-CN"/>
        </w:rPr>
        <w:t>9</w:t>
      </w:r>
      <w:r>
        <w:rPr>
          <w:rFonts w:hint="eastAsia" w:ascii="Times New Roman" w:hAnsi="Times New Roman" w:eastAsia="宋体"/>
          <w:b/>
          <w:sz w:val="24"/>
          <w:szCs w:val="24"/>
        </w:rPr>
        <w:t>.付款方式</w:t>
      </w:r>
    </w:p>
    <w:p>
      <w:pPr>
        <w:spacing w:line="420" w:lineRule="exact"/>
        <w:ind w:firstLine="480" w:firstLineChars="200"/>
        <w:rPr>
          <w:rFonts w:hint="eastAsia" w:ascii="Times New Roman" w:hAnsi="Times New Roman" w:eastAsia="宋体"/>
          <w:bCs/>
          <w:sz w:val="24"/>
          <w:szCs w:val="24"/>
        </w:rPr>
      </w:pPr>
      <w:r>
        <w:rPr>
          <w:rFonts w:hint="eastAsia" w:ascii="Times New Roman" w:hAnsi="Times New Roman" w:eastAsia="宋体"/>
          <w:bCs/>
          <w:sz w:val="24"/>
          <w:szCs w:val="24"/>
          <w:lang w:val="en-US" w:eastAsia="zh-CN"/>
        </w:rPr>
        <w:t>9.1</w:t>
      </w:r>
      <w:r>
        <w:rPr>
          <w:rFonts w:hint="eastAsia" w:ascii="Times New Roman" w:hAnsi="Times New Roman" w:eastAsia="宋体"/>
          <w:bCs/>
          <w:sz w:val="24"/>
          <w:szCs w:val="24"/>
        </w:rPr>
        <w:t>本工程不支付预付款和工程进度款，工程验收合格后招标方财务部收到全额发票45天支付工程总合同价的90%（银行承兑汇票），质保金为总合同价的10％，在质保期满后三十天内付清。质保金不计利息。人民币报价和结算，中标人开具增值税专用发票（税率必须在标书报价中说明，经招标方认可）。</w:t>
      </w:r>
    </w:p>
    <w:p>
      <w:pPr>
        <w:spacing w:line="42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lang w:val="en-US" w:eastAsia="zh-CN"/>
        </w:rPr>
        <w:t>9</w:t>
      </w:r>
      <w:r>
        <w:rPr>
          <w:rFonts w:hint="eastAsia" w:ascii="Times New Roman" w:hAnsi="Times New Roman" w:eastAsia="宋体"/>
          <w:b/>
          <w:sz w:val="24"/>
          <w:szCs w:val="24"/>
        </w:rPr>
        <w:t>.</w:t>
      </w:r>
      <w:r>
        <w:rPr>
          <w:rFonts w:hint="eastAsia" w:ascii="Times New Roman" w:hAnsi="Times New Roman" w:eastAsia="宋体"/>
          <w:b/>
          <w:sz w:val="24"/>
          <w:szCs w:val="24"/>
          <w:lang w:val="en-US" w:eastAsia="zh-CN"/>
        </w:rPr>
        <w:t>2</w:t>
      </w:r>
      <w:r>
        <w:rPr>
          <w:rFonts w:ascii="Times New Roman" w:hAnsi="Times New Roman" w:eastAsia="宋体"/>
          <w:b/>
          <w:sz w:val="24"/>
          <w:szCs w:val="24"/>
        </w:rPr>
        <w:t>付款方式不得偏离，否则投标将被否决</w:t>
      </w:r>
      <w:r>
        <w:rPr>
          <w:rFonts w:ascii="Times New Roman" w:hAnsi="Times New Roman" w:eastAsia="宋体"/>
          <w:bCs/>
          <w:sz w:val="24"/>
          <w:szCs w:val="24"/>
        </w:rPr>
        <w:t>。</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lang w:val="en-US" w:eastAsia="zh-CN"/>
        </w:rPr>
        <w:t>10</w:t>
      </w:r>
      <w:r>
        <w:rPr>
          <w:rFonts w:hint="eastAsia" w:ascii="Times New Roman" w:hAnsi="Times New Roman" w:eastAsia="宋体"/>
          <w:b/>
          <w:sz w:val="24"/>
          <w:szCs w:val="24"/>
        </w:rPr>
        <w:t>.报价规定</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10</w:t>
      </w:r>
      <w:r>
        <w:rPr>
          <w:rFonts w:hint="eastAsia" w:ascii="Times New Roman" w:hAnsi="Times New Roman" w:eastAsia="宋体"/>
          <w:sz w:val="24"/>
          <w:szCs w:val="24"/>
        </w:rPr>
        <w:t>.1</w:t>
      </w:r>
      <w:r>
        <w:rPr>
          <w:rFonts w:ascii="Times New Roman" w:hAnsi="Times New Roman" w:eastAsia="宋体"/>
          <w:sz w:val="24"/>
          <w:szCs w:val="24"/>
        </w:rPr>
        <w:t>本次招标</w:t>
      </w:r>
      <w:r>
        <w:rPr>
          <w:rFonts w:hint="eastAsia" w:ascii="Times New Roman" w:hAnsi="Times New Roman" w:eastAsia="宋体"/>
          <w:sz w:val="24"/>
          <w:szCs w:val="24"/>
        </w:rPr>
        <w:t>原则上</w:t>
      </w:r>
      <w:r>
        <w:rPr>
          <w:rFonts w:ascii="Times New Roman" w:hAnsi="Times New Roman" w:eastAsia="宋体"/>
          <w:sz w:val="24"/>
          <w:szCs w:val="24"/>
        </w:rPr>
        <w:t>采取一次性报价方式。</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10</w:t>
      </w:r>
      <w:r>
        <w:rPr>
          <w:rFonts w:hint="eastAsia" w:ascii="Times New Roman" w:hAnsi="Times New Roman" w:eastAsia="宋体"/>
          <w:sz w:val="24"/>
          <w:szCs w:val="24"/>
        </w:rPr>
        <w:t>.2报价以一票制方式结算，中标人须开具增值税专用发票。</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10</w:t>
      </w:r>
      <w:r>
        <w:rPr>
          <w:rFonts w:hint="eastAsia" w:ascii="Times New Roman" w:hAnsi="Times New Roman" w:eastAsia="宋体"/>
          <w:sz w:val="24"/>
          <w:szCs w:val="24"/>
        </w:rPr>
        <w:t>.3报价分设备和施工二项，设备和材料税率为13%，安装施工税率投标时说明，经招标人认可</w:t>
      </w:r>
      <w:r>
        <w:rPr>
          <w:rFonts w:hint="eastAsia" w:ascii="Times New Roman" w:hAnsi="Times New Roman" w:eastAsia="宋体"/>
          <w:sz w:val="24"/>
          <w:szCs w:val="24"/>
          <w:lang w:eastAsia="zh-CN"/>
        </w:rPr>
        <w:t>；投标人报价也可不分项，税率为13%</w:t>
      </w:r>
      <w:r>
        <w:rPr>
          <w:rFonts w:hint="eastAsia" w:ascii="Times New Roman" w:hAnsi="Times New Roman" w:eastAsia="宋体"/>
          <w:sz w:val="24"/>
          <w:szCs w:val="24"/>
          <w:lang w:val="en-US" w:eastAsia="zh-CN"/>
        </w:rPr>
        <w:t xml:space="preserve"> </w:t>
      </w:r>
      <w:r>
        <w:rPr>
          <w:rFonts w:hint="eastAsia" w:ascii="Times New Roman" w:hAnsi="Times New Roman" w:eastAsia="宋体"/>
          <w:sz w:val="24"/>
          <w:szCs w:val="24"/>
        </w:rPr>
        <w:t>。</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10</w:t>
      </w:r>
      <w:r>
        <w:rPr>
          <w:rFonts w:hint="eastAsia" w:ascii="Times New Roman" w:hAnsi="Times New Roman" w:eastAsia="宋体"/>
          <w:sz w:val="24"/>
          <w:szCs w:val="24"/>
        </w:rPr>
        <w:t>.4本项目设置</w:t>
      </w:r>
      <w:r>
        <w:rPr>
          <w:rFonts w:hint="eastAsia" w:ascii="Times New Roman" w:hAnsi="Times New Roman" w:eastAsia="宋体"/>
          <w:b/>
          <w:bCs/>
          <w:sz w:val="24"/>
          <w:szCs w:val="24"/>
        </w:rPr>
        <w:t>招标控制价为壹佰陆拾伍万元整（¥1</w:t>
      </w:r>
      <w:r>
        <w:rPr>
          <w:rFonts w:hint="eastAsia" w:ascii="Times New Roman" w:hAnsi="Times New Roman" w:eastAsia="宋体"/>
          <w:b/>
          <w:bCs/>
          <w:sz w:val="24"/>
          <w:szCs w:val="24"/>
          <w:lang w:val="en-US" w:eastAsia="zh-CN"/>
        </w:rPr>
        <w:t>65</w:t>
      </w:r>
      <w:r>
        <w:rPr>
          <w:rFonts w:hint="eastAsia" w:ascii="Times New Roman" w:hAnsi="Times New Roman" w:eastAsia="宋体"/>
          <w:b/>
          <w:bCs/>
          <w:sz w:val="24"/>
          <w:szCs w:val="24"/>
        </w:rPr>
        <w:t>0000）</w:t>
      </w:r>
      <w:r>
        <w:rPr>
          <w:rFonts w:hint="eastAsia" w:ascii="Times New Roman" w:hAnsi="Times New Roman" w:eastAsia="宋体"/>
          <w:sz w:val="24"/>
          <w:szCs w:val="24"/>
        </w:rPr>
        <w:t>。</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1</w:t>
      </w:r>
      <w:r>
        <w:rPr>
          <w:rFonts w:hint="eastAsia" w:ascii="Times New Roman" w:hAnsi="Times New Roman" w:eastAsia="宋体"/>
          <w:b/>
          <w:sz w:val="24"/>
          <w:szCs w:val="24"/>
        </w:rPr>
        <w:t>.评标办法</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.1本项目采用综合评估法评标。经综合评审得分排名第一名的投标人确定为中标候选人，中标候选人将在本公司网站上公示三天，无异议后转为中标人。</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.2投标人报价超过招标控制价的，则否决其投标。</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1</w:t>
      </w:r>
      <w:r>
        <w:rPr>
          <w:rFonts w:ascii="Times New Roman" w:hAnsi="Times New Roman" w:eastAsia="宋体"/>
          <w:sz w:val="24"/>
          <w:szCs w:val="24"/>
        </w:rPr>
        <w:t>.</w:t>
      </w:r>
      <w:r>
        <w:rPr>
          <w:rFonts w:hint="eastAsia" w:ascii="Times New Roman" w:hAnsi="Times New Roman" w:eastAsia="宋体"/>
          <w:sz w:val="24"/>
          <w:szCs w:val="24"/>
        </w:rPr>
        <w:t>3</w:t>
      </w:r>
      <w:r>
        <w:rPr>
          <w:rFonts w:ascii="Times New Roman" w:hAnsi="Times New Roman" w:eastAsia="宋体"/>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序号</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评议内容</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分值</w:t>
            </w:r>
          </w:p>
        </w:tc>
        <w:tc>
          <w:tcPr>
            <w:tcW w:w="5587"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投标评审价</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6</w:t>
            </w:r>
            <w:r>
              <w:rPr>
                <w:rFonts w:ascii="Times New Roman" w:hAnsi="Times New Roman" w:eastAsia="宋体" w:cs="Times New Roman"/>
                <w:kern w:val="0"/>
                <w:szCs w:val="21"/>
              </w:rPr>
              <w:t>0分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当AG＞1.1AD时，F=60-（A-AD）÷（AG-AD）×6</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当AG≤1.1AD时，F=60-（A-AD）÷AD×60</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其中：F为投标评审价分；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 为投标评审价；</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AG为最高投标评审价；</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技术评审</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35</w:t>
            </w:r>
            <w:r>
              <w:rPr>
                <w:rFonts w:ascii="Times New Roman" w:hAnsi="Times New Roman" w:eastAsia="宋体" w:cs="Times New Roman"/>
                <w:kern w:val="0"/>
                <w:szCs w:val="21"/>
              </w:rPr>
              <w:t>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①设备的技术参数满足要求的程度：</w:t>
            </w:r>
            <w:r>
              <w:rPr>
                <w:rFonts w:hint="eastAsia" w:ascii="Times New Roman" w:hAnsi="Times New Roman" w:eastAsia="宋体" w:cs="Times New Roman"/>
                <w:kern w:val="0"/>
                <w:szCs w:val="21"/>
                <w:lang w:val="en-US" w:eastAsia="zh-CN"/>
              </w:rPr>
              <w:t>5</w:t>
            </w:r>
            <w:r>
              <w:rPr>
                <w:rFonts w:hint="eastAsia" w:ascii="Times New Roman" w:hAnsi="Times New Roman" w:eastAsia="宋体" w:cs="Times New Roman"/>
                <w:kern w:val="0"/>
                <w:szCs w:val="21"/>
              </w:rPr>
              <w:t>分；</w:t>
            </w:r>
          </w:p>
          <w:p>
            <w:pPr>
              <w:widowControl/>
              <w:jc w:val="left"/>
              <w:rPr>
                <w:rFonts w:hint="eastAsia" w:ascii="Times New Roman" w:hAnsi="Times New Roman" w:eastAsia="宋体" w:cs="Times New Roman"/>
                <w:kern w:val="0"/>
                <w:szCs w:val="21"/>
              </w:rPr>
            </w:pPr>
            <w:r>
              <w:rPr>
                <w:rFonts w:hint="eastAsia" w:ascii="Times New Roman" w:hAnsi="Times New Roman" w:eastAsia="宋体" w:cs="Times New Roman"/>
                <w:kern w:val="0"/>
                <w:szCs w:val="21"/>
              </w:rPr>
              <w:t>②投标人的主要、材料、设计、施工方案、安装调试方案等：15分；</w:t>
            </w:r>
          </w:p>
          <w:p>
            <w:pPr>
              <w:widowControl/>
              <w:jc w:val="left"/>
              <w:rPr>
                <w:rFonts w:hint="eastAsia" w:ascii="Times New Roman" w:hAnsi="Times New Roman" w:eastAsia="宋体" w:cs="Times New Roman"/>
                <w:kern w:val="0"/>
                <w:szCs w:val="21"/>
              </w:rPr>
            </w:pPr>
            <w:r>
              <w:rPr>
                <w:rFonts w:hint="eastAsia" w:ascii="Times New Roman" w:hAnsi="Times New Roman" w:eastAsia="宋体" w:cs="Times New Roman"/>
                <w:kern w:val="0"/>
                <w:szCs w:val="21"/>
                <w:lang w:eastAsia="zh-CN"/>
              </w:rPr>
              <w:t>③</w:t>
            </w:r>
            <w:r>
              <w:rPr>
                <w:rFonts w:hint="eastAsia" w:ascii="Times New Roman" w:hAnsi="Times New Roman" w:eastAsia="宋体" w:cs="Times New Roman"/>
                <w:kern w:val="0"/>
                <w:szCs w:val="21"/>
              </w:rPr>
              <w:t>投标人的资质：5分</w:t>
            </w:r>
          </w:p>
          <w:p>
            <w:pPr>
              <w:widowControl/>
              <w:ind w:firstLine="210" w:firstLineChars="100"/>
              <w:jc w:val="left"/>
              <w:rPr>
                <w:rFonts w:hint="eastAsia" w:ascii="Times New Roman" w:hAnsi="Times New Roman" w:eastAsia="宋体" w:cs="Times New Roman"/>
                <w:kern w:val="0"/>
                <w:szCs w:val="21"/>
              </w:rPr>
            </w:pPr>
            <w:r>
              <w:rPr>
                <w:rFonts w:hint="eastAsia" w:ascii="Times New Roman" w:hAnsi="Times New Roman" w:eastAsia="宋体" w:cs="Times New Roman"/>
                <w:kern w:val="0"/>
                <w:szCs w:val="21"/>
                <w:lang w:val="en-US" w:eastAsia="zh-CN"/>
              </w:rPr>
              <w:t>A.</w:t>
            </w:r>
            <w:r>
              <w:rPr>
                <w:rFonts w:hint="eastAsia" w:ascii="Times New Roman" w:hAnsi="Times New Roman" w:eastAsia="宋体" w:cs="Times New Roman"/>
                <w:kern w:val="0"/>
                <w:szCs w:val="21"/>
              </w:rPr>
              <w:t>住建部建筑工程总承包资质：无0分，叁级1分，贰级以上2分；</w:t>
            </w:r>
          </w:p>
          <w:p>
            <w:pPr>
              <w:widowControl/>
              <w:ind w:firstLine="210" w:firstLineChars="100"/>
              <w:jc w:val="left"/>
              <w:rPr>
                <w:rFonts w:hint="eastAsia" w:ascii="Times New Roman" w:hAnsi="Times New Roman" w:eastAsia="宋体" w:cs="Times New Roman"/>
                <w:kern w:val="0"/>
                <w:szCs w:val="21"/>
              </w:rPr>
            </w:pPr>
            <w:r>
              <w:rPr>
                <w:rFonts w:hint="eastAsia" w:ascii="Times New Roman" w:hAnsi="Times New Roman" w:eastAsia="宋体" w:cs="Times New Roman"/>
                <w:kern w:val="0"/>
                <w:szCs w:val="21"/>
                <w:lang w:val="en-US" w:eastAsia="zh-CN"/>
              </w:rPr>
              <w:t>B.</w:t>
            </w:r>
            <w:r>
              <w:rPr>
                <w:rFonts w:hint="eastAsia" w:ascii="Times New Roman" w:hAnsi="Times New Roman" w:eastAsia="宋体" w:cs="Times New Roman"/>
                <w:kern w:val="0"/>
                <w:szCs w:val="21"/>
              </w:rPr>
              <w:t>住建部环保工程专业承包资质：无0分，壹级3分，贰级2分，叁级1分。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④</w:t>
            </w:r>
            <w:r>
              <w:rPr>
                <w:rFonts w:hint="eastAsia" w:ascii="Times New Roman" w:hAnsi="Times New Roman" w:eastAsia="宋体" w:cs="Times New Roman"/>
                <w:kern w:val="0"/>
                <w:szCs w:val="21"/>
              </w:rPr>
              <w:t>安全措施和专项防火技术方案：5分；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⑤</w:t>
            </w:r>
            <w:r>
              <w:rPr>
                <w:rFonts w:hint="eastAsia" w:ascii="Times New Roman" w:hAnsi="Times New Roman" w:eastAsia="宋体" w:cs="Times New Roman"/>
                <w:kern w:val="0"/>
                <w:szCs w:val="21"/>
              </w:rPr>
              <w:t>工期：5分，最短工期得最高分，其他按比例打分，F=5-（A-AD）÷（AG-AD）×5</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⑥</w:t>
            </w:r>
            <w:r>
              <w:rPr>
                <w:rFonts w:hint="eastAsia" w:ascii="Times New Roman" w:hAnsi="Times New Roman" w:eastAsia="宋体" w:cs="Times New Roman"/>
                <w:kern w:val="0"/>
                <w:szCs w:val="21"/>
              </w:rPr>
              <w:t>不满足技术要求及施工安全的，按废标处理</w:t>
            </w:r>
            <w:r>
              <w:rPr>
                <w:rFonts w:ascii="Times New Roman" w:hAnsi="Times New Roman" w:eastAsia="宋体" w:cs="Times New Roman"/>
                <w:kern w:val="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业绩及售后服务</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w:t>
            </w:r>
            <w:r>
              <w:rPr>
                <w:rFonts w:ascii="Times New Roman" w:hAnsi="Times New Roman" w:eastAsia="宋体" w:cs="Times New Roman"/>
                <w:kern w:val="0"/>
                <w:szCs w:val="21"/>
              </w:rPr>
              <w:t>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①类似业绩：</w:t>
            </w:r>
            <w:r>
              <w:rPr>
                <w:rFonts w:hint="eastAsia" w:ascii="Times New Roman" w:hAnsi="Times New Roman" w:eastAsia="宋体" w:cs="Times New Roman"/>
                <w:kern w:val="0"/>
                <w:szCs w:val="21"/>
                <w:lang w:val="en-US" w:eastAsia="zh-CN"/>
              </w:rPr>
              <w:t>3</w:t>
            </w:r>
            <w:r>
              <w:rPr>
                <w:rFonts w:hint="eastAsia" w:ascii="Times New Roman" w:hAnsi="Times New Roman" w:eastAsia="宋体" w:cs="Times New Roman"/>
                <w:kern w:val="0"/>
                <w:szCs w:val="21"/>
              </w:rPr>
              <w:t>分（以合同复印件为准，三年内每份合同1分，封顶</w:t>
            </w:r>
            <w:r>
              <w:rPr>
                <w:rFonts w:hint="eastAsia" w:ascii="Times New Roman" w:hAnsi="Times New Roman" w:eastAsia="宋体" w:cs="Times New Roman"/>
                <w:kern w:val="0"/>
                <w:szCs w:val="21"/>
                <w:lang w:val="en-US" w:eastAsia="zh-CN"/>
              </w:rPr>
              <w:t>3</w:t>
            </w:r>
            <w:r>
              <w:rPr>
                <w:rFonts w:hint="eastAsia" w:ascii="Times New Roman" w:hAnsi="Times New Roman" w:eastAsia="宋体" w:cs="Times New Roman"/>
                <w:kern w:val="0"/>
                <w:szCs w:val="21"/>
              </w:rPr>
              <w:t>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②质保承诺：</w:t>
            </w:r>
            <w:r>
              <w:rPr>
                <w:rFonts w:hint="eastAsia" w:ascii="Times New Roman" w:hAnsi="Times New Roman" w:eastAsia="宋体" w:cs="Times New Roman"/>
                <w:kern w:val="0"/>
                <w:szCs w:val="21"/>
                <w:lang w:val="en-US" w:eastAsia="zh-CN"/>
              </w:rPr>
              <w:t>2</w:t>
            </w:r>
            <w:r>
              <w:rPr>
                <w:rFonts w:hint="eastAsia" w:ascii="Times New Roman" w:hAnsi="Times New Roman" w:eastAsia="宋体" w:cs="Times New Roman"/>
                <w:kern w:val="0"/>
                <w:szCs w:val="21"/>
              </w:rPr>
              <w:t>分（1年</w:t>
            </w:r>
            <w:r>
              <w:rPr>
                <w:rFonts w:hint="eastAsia" w:ascii="Times New Roman" w:hAnsi="Times New Roman" w:eastAsia="宋体" w:cs="Times New Roman"/>
                <w:kern w:val="0"/>
                <w:szCs w:val="21"/>
                <w:lang w:val="en-US" w:eastAsia="zh-CN"/>
              </w:rPr>
              <w:t>1</w:t>
            </w:r>
            <w:r>
              <w:rPr>
                <w:rFonts w:hint="eastAsia" w:ascii="Times New Roman" w:hAnsi="Times New Roman" w:eastAsia="宋体" w:cs="Times New Roman"/>
                <w:kern w:val="0"/>
                <w:szCs w:val="21"/>
              </w:rPr>
              <w:t>分，1年以上每增加六个月得0.5分，最高</w:t>
            </w:r>
            <w:r>
              <w:rPr>
                <w:rFonts w:hint="eastAsia" w:ascii="Times New Roman" w:hAnsi="Times New Roman" w:eastAsia="宋体" w:cs="Times New Roman"/>
                <w:kern w:val="0"/>
                <w:szCs w:val="21"/>
                <w:lang w:val="en-US" w:eastAsia="zh-CN"/>
              </w:rPr>
              <w:t>2</w:t>
            </w:r>
            <w:r>
              <w:rPr>
                <w:rFonts w:hint="eastAsia" w:ascii="Times New Roman" w:hAnsi="Times New Roman" w:eastAsia="宋体" w:cs="Times New Roman"/>
                <w:kern w:val="0"/>
                <w:szCs w:val="21"/>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付款方式</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宋体"/>
                <w:kern w:val="0"/>
                <w:szCs w:val="21"/>
              </w:rPr>
              <w:t>/</w:t>
            </w:r>
          </w:p>
        </w:tc>
        <w:tc>
          <w:tcPr>
            <w:tcW w:w="5587" w:type="dxa"/>
            <w:shd w:val="clear" w:color="auto" w:fill="FFFFFF"/>
            <w:tcMar>
              <w:top w:w="0" w:type="dxa"/>
              <w:left w:w="108" w:type="dxa"/>
              <w:bottom w:w="0" w:type="dxa"/>
              <w:right w:w="108" w:type="dxa"/>
            </w:tcMar>
            <w:vAlign w:val="center"/>
          </w:tcPr>
          <w:p>
            <w:pPr>
              <w:widowControl/>
              <w:rPr>
                <w:rFonts w:ascii="Times New Roman" w:hAnsi="Times New Roman" w:eastAsia="宋体" w:cs="Times New Roman"/>
                <w:b/>
                <w:kern w:val="0"/>
                <w:szCs w:val="21"/>
              </w:rPr>
            </w:pPr>
            <w:r>
              <w:rPr>
                <w:rFonts w:hint="eastAsia" w:ascii="Times New Roman" w:hAnsi="Times New Roman" w:eastAsia="宋体" w:cs="Times New Roman"/>
                <w:b/>
                <w:kern w:val="0"/>
                <w:szCs w:val="21"/>
              </w:rPr>
              <w:t>付款方式不得偏离，否则投标将被否决。</w:t>
            </w:r>
          </w:p>
        </w:tc>
      </w:tr>
    </w:tbl>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sz w:val="24"/>
          <w:szCs w:val="24"/>
        </w:rPr>
        <w:t>0分）其它评分方法不变，直至产生唯一最高分。</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2</w:t>
      </w:r>
      <w:r>
        <w:rPr>
          <w:rFonts w:hint="eastAsia" w:ascii="Times New Roman" w:hAnsi="Times New Roman" w:eastAsia="宋体"/>
          <w:b/>
          <w:sz w:val="24"/>
          <w:szCs w:val="24"/>
        </w:rPr>
        <w:t>.开标时间、地点及参与方式</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.1开标时间、地点：20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eastAsia="宋体"/>
          <w:sz w:val="24"/>
          <w:szCs w:val="24"/>
        </w:rPr>
        <w:t>1</w:t>
      </w:r>
      <w:r>
        <w:rPr>
          <w:rFonts w:ascii="Times New Roman" w:hAnsi="Times New Roman" w:eastAsia="宋体"/>
          <w:sz w:val="24"/>
          <w:szCs w:val="24"/>
        </w:rPr>
        <w:t>月</w:t>
      </w:r>
      <w:r>
        <w:rPr>
          <w:rFonts w:hint="eastAsia" w:ascii="Times New Roman" w:hAnsi="Times New Roman" w:eastAsia="宋体"/>
          <w:sz w:val="24"/>
          <w:szCs w:val="24"/>
          <w:lang w:val="en-US" w:eastAsia="zh-CN"/>
        </w:rPr>
        <w:t>1</w:t>
      </w:r>
      <w:r>
        <w:rPr>
          <w:rFonts w:hint="eastAsia" w:ascii="Times New Roman" w:hAnsi="Times New Roman"/>
          <w:sz w:val="24"/>
          <w:szCs w:val="24"/>
          <w:lang w:val="en-US" w:eastAsia="zh-CN"/>
        </w:rPr>
        <w:t>7</w:t>
      </w:r>
      <w:r>
        <w:rPr>
          <w:rFonts w:ascii="Times New Roman" w:hAnsi="Times New Roman" w:eastAsia="宋体"/>
          <w:sz w:val="24"/>
          <w:szCs w:val="24"/>
        </w:rPr>
        <w:t>日</w:t>
      </w: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:30</w:t>
      </w:r>
      <w:r>
        <w:rPr>
          <w:rFonts w:ascii="Times New Roman" w:hAnsi="Times New Roman" w:eastAsia="宋体"/>
          <w:sz w:val="24"/>
          <w:szCs w:val="24"/>
        </w:rPr>
        <w:t>时（北京时间）在青山纸业文化楼4楼招标办会议室公开开标。</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.2参与方式：</w:t>
      </w:r>
      <w:r>
        <w:rPr>
          <w:rFonts w:hint="eastAsia" w:ascii="Times New Roman" w:hAnsi="Times New Roman" w:eastAsia="宋体"/>
          <w:sz w:val="24"/>
          <w:szCs w:val="24"/>
        </w:rPr>
        <w:t>以下三种参与方式投标人可任选一种</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w:t>
      </w:r>
      <w:r>
        <w:rPr>
          <w:rFonts w:hint="eastAsia" w:ascii="Times New Roman" w:hAnsi="Times New Roman" w:eastAsia="宋体"/>
          <w:sz w:val="24"/>
          <w:szCs w:val="24"/>
        </w:rPr>
        <w:t>参与现场投标的，投标人应于开标之前将投</w:t>
      </w:r>
      <w:bookmarkStart w:id="0" w:name="_GoBack"/>
      <w:bookmarkEnd w:id="0"/>
      <w:r>
        <w:rPr>
          <w:rFonts w:hint="eastAsia" w:ascii="Times New Roman" w:hAnsi="Times New Roman" w:eastAsia="宋体"/>
          <w:sz w:val="24"/>
          <w:szCs w:val="24"/>
        </w:rPr>
        <w:t>标文件送至青山纸业文化楼4楼招标办会议室。到会议现场参加开标的投标人代表，须遵守沙县政府和本公司关于新冠肺炎疫情防控的相关规定。</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.2.2邮寄：以邮寄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投标文件应于开标之前寄达，</w:t>
      </w:r>
      <w:r>
        <w:rPr>
          <w:rFonts w:ascii="Times New Roman" w:hAnsi="Times New Roman" w:eastAsia="宋体"/>
          <w:sz w:val="24"/>
          <w:szCs w:val="24"/>
        </w:rPr>
        <w:t>快递单上须注明投标单位名称和参与的招标编号，建议选用邮政EMS或顺丰快递，开标之前为确保寄达，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.2.3网络：在1688采购平台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"https://fjqszy.go.1688.com"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https://fjqszy.go.1688.com</w:t>
      </w:r>
      <w:r>
        <w:rPr>
          <w:rFonts w:hint="eastAsia" w:ascii="Times New Roman" w:hAnsi="Times New Roman" w:eastAsia="宋体"/>
          <w:sz w:val="24"/>
          <w:szCs w:val="24"/>
        </w:rPr>
        <w:fldChar w:fldCharType="end"/>
      </w:r>
      <w:r>
        <w:rPr>
          <w:rFonts w:hint="eastAsia" w:ascii="Times New Roman" w:hAnsi="Times New Roman" w:eastAsia="宋体"/>
          <w:sz w:val="24"/>
          <w:szCs w:val="24"/>
        </w:rPr>
        <w:t>上参与投标的，应按招标文件的要求制作投标文件后扫描上传至平台，投标保证金凭证、资格文件、技术文件、商务文件分别扫描上传。</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3</w:t>
      </w:r>
      <w:r>
        <w:rPr>
          <w:rFonts w:hint="eastAsia" w:ascii="Times New Roman" w:hAnsi="Times New Roman" w:eastAsia="宋体"/>
          <w:b/>
          <w:sz w:val="24"/>
          <w:szCs w:val="24"/>
        </w:rPr>
        <w:t>.投标及履约保证金</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rPr>
        <w:t>3</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000</w:t>
      </w:r>
      <w:r>
        <w:rPr>
          <w:rFonts w:ascii="Times New Roman" w:hAnsi="Times New Roman" w:eastAsia="宋体"/>
          <w:sz w:val="24"/>
          <w:szCs w:val="24"/>
        </w:rPr>
        <w:t>元。</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.2投标保证金任选如下一种形式提交：</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.2.1银行电汇；（开户银行：工商银行沙县青州支行、账户名：福建省青山纸业股份有限公司、账号：1404049409001000160。</w:t>
      </w:r>
      <w:r>
        <w:rPr>
          <w:rFonts w:hint="eastAsia" w:ascii="Times New Roman" w:hAnsi="Times New Roman" w:eastAsia="宋体"/>
          <w:sz w:val="24"/>
          <w:szCs w:val="24"/>
        </w:rPr>
        <w:t>公对公转账，</w:t>
      </w:r>
      <w:r>
        <w:rPr>
          <w:rFonts w:ascii="Times New Roman" w:hAnsi="Times New Roman" w:eastAsia="宋体"/>
          <w:sz w:val="24"/>
          <w:szCs w:val="24"/>
        </w:rPr>
        <w:t>汇款人须注明</w:t>
      </w:r>
      <w:r>
        <w:rPr>
          <w:rFonts w:hint="eastAsia" w:ascii="Times New Roman" w:hAnsi="Times New Roman" w:eastAsia="宋体"/>
          <w:sz w:val="24"/>
          <w:szCs w:val="24"/>
        </w:rPr>
        <w:t>参与的招标编号</w:t>
      </w:r>
      <w:r>
        <w:rPr>
          <w:rFonts w:ascii="Times New Roman" w:hAnsi="Times New Roman" w:eastAsia="宋体"/>
          <w:sz w:val="24"/>
          <w:szCs w:val="24"/>
        </w:rPr>
        <w:t>）。银行电汇回单单独密封装订。</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.2.2投标保证金函；若本公司与投标人尚有</w:t>
      </w:r>
      <w:r>
        <w:rPr>
          <w:rFonts w:hint="eastAsia" w:ascii="Times New Roman" w:hAnsi="Times New Roman" w:eastAsia="宋体"/>
          <w:sz w:val="24"/>
          <w:szCs w:val="24"/>
        </w:rPr>
        <w:t>到期应付</w:t>
      </w:r>
      <w:r>
        <w:rPr>
          <w:rFonts w:ascii="Times New Roman" w:hAnsi="Times New Roman" w:eastAsia="宋体"/>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sz w:val="24"/>
          <w:szCs w:val="24"/>
        </w:rPr>
        <w:t>应</w:t>
      </w:r>
      <w:r>
        <w:rPr>
          <w:rFonts w:ascii="Times New Roman" w:hAnsi="Times New Roman" w:eastAsia="宋体"/>
          <w:sz w:val="24"/>
          <w:szCs w:val="24"/>
        </w:rPr>
        <w:t>在开标前得到本公司财务的确认。投标保证金函单独密封装订。</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.3对于未能按规定提交投标保证金的投标，将被视为不响应招标文件而予以拒绝。</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.4未中标的投标人的投标保证金，以电汇形式的将在一星期内退还；以未结货款转抵形式的将转回未结货款并按正常渠道结算。</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.5中标的投标人的投标保证金，将在中标人签订合同时转为履约保证金，合同按时履行完毕后予以原额退还，以未结货款转抵形式的将转回未结货款并按正常渠道结算。</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.6如投标人有下列情况发生时，其</w:t>
      </w:r>
      <w:r>
        <w:rPr>
          <w:rFonts w:ascii="Times New Roman" w:hAnsi="Times New Roman" w:eastAsia="宋体"/>
          <w:b/>
          <w:bCs/>
          <w:sz w:val="24"/>
          <w:szCs w:val="24"/>
        </w:rPr>
        <w:t>投标保证金将被不予退还</w:t>
      </w:r>
      <w:r>
        <w:rPr>
          <w:rFonts w:ascii="Times New Roman" w:hAnsi="Times New Roman" w:eastAsia="宋体"/>
          <w:sz w:val="24"/>
          <w:szCs w:val="24"/>
        </w:rPr>
        <w:t>：</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.6.1投标人在投标有效期内撤回投标的；</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.6.2成为中标人后</w:t>
      </w:r>
      <w:r>
        <w:rPr>
          <w:rFonts w:hint="eastAsia" w:ascii="Times New Roman" w:hAnsi="Times New Roman" w:eastAsia="宋体"/>
          <w:sz w:val="24"/>
          <w:szCs w:val="24"/>
        </w:rPr>
        <w:t>5日</w:t>
      </w:r>
      <w:r>
        <w:rPr>
          <w:rFonts w:ascii="Times New Roman" w:hAnsi="Times New Roman" w:eastAsia="宋体"/>
          <w:sz w:val="24"/>
          <w:szCs w:val="24"/>
        </w:rPr>
        <w:t>内，因中标方原因无法签订合同的；</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.6.4其他违反法律规定的。</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4</w:t>
      </w:r>
      <w:r>
        <w:rPr>
          <w:rFonts w:hint="eastAsia" w:ascii="Times New Roman" w:hAnsi="Times New Roman" w:eastAsia="宋体"/>
          <w:b/>
          <w:sz w:val="24"/>
          <w:szCs w:val="24"/>
        </w:rPr>
        <w:t>.投标文件要求</w:t>
      </w:r>
      <w:r>
        <w:rPr>
          <w:rFonts w:hint="eastAsia" w:ascii="Times New Roman" w:hAnsi="Times New Roman" w:eastAsia="宋体"/>
          <w:sz w:val="24"/>
          <w:szCs w:val="24"/>
        </w:rPr>
        <w:t>：（内容均须加盖公章）</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4</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rPr>
        <w:t>四</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rPr>
        <w:t>投标保证金凭证，第二部分为</w:t>
      </w:r>
      <w:r>
        <w:rPr>
          <w:rFonts w:ascii="Times New Roman" w:hAnsi="Times New Roman" w:eastAsia="宋体"/>
          <w:sz w:val="24"/>
          <w:szCs w:val="24"/>
        </w:rPr>
        <w:t>资格文件，第</w:t>
      </w:r>
      <w:r>
        <w:rPr>
          <w:rFonts w:hint="eastAsia" w:ascii="Times New Roman" w:hAnsi="Times New Roman" w:eastAsia="宋体"/>
          <w:sz w:val="24"/>
          <w:szCs w:val="24"/>
        </w:rPr>
        <w:t>三</w:t>
      </w:r>
      <w:r>
        <w:rPr>
          <w:rFonts w:ascii="Times New Roman" w:hAnsi="Times New Roman" w:eastAsia="宋体"/>
          <w:sz w:val="24"/>
          <w:szCs w:val="24"/>
        </w:rPr>
        <w:t>部分</w:t>
      </w:r>
      <w:r>
        <w:rPr>
          <w:rFonts w:hint="eastAsia" w:ascii="Times New Roman" w:hAnsi="Times New Roman" w:eastAsia="宋体"/>
          <w:sz w:val="24"/>
          <w:szCs w:val="24"/>
        </w:rPr>
        <w:t>为</w:t>
      </w:r>
      <w:r>
        <w:rPr>
          <w:rFonts w:ascii="Times New Roman" w:hAnsi="Times New Roman" w:eastAsia="宋体"/>
          <w:sz w:val="24"/>
          <w:szCs w:val="24"/>
        </w:rPr>
        <w:t>技术文件，第</w:t>
      </w:r>
      <w:r>
        <w:rPr>
          <w:rFonts w:hint="eastAsia" w:ascii="Times New Roman" w:hAnsi="Times New Roman" w:eastAsia="宋体"/>
          <w:sz w:val="24"/>
          <w:szCs w:val="24"/>
        </w:rPr>
        <w:t>四</w:t>
      </w:r>
      <w:r>
        <w:rPr>
          <w:rFonts w:ascii="Times New Roman" w:hAnsi="Times New Roman" w:eastAsia="宋体"/>
          <w:sz w:val="24"/>
          <w:szCs w:val="24"/>
        </w:rPr>
        <w:t>部分为商务文件。</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.1.1投标保证金凭证：银行电汇回单或投标保证金函。</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4</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rPr>
        <w:t>b.第</w:t>
      </w: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条“对投标人资格要求”的其他证明材料；c.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（授权书格式见附件2）</w:t>
      </w:r>
      <w:r>
        <w:rPr>
          <w:rFonts w:ascii="Times New Roman" w:hAnsi="Times New Roman" w:eastAsia="宋体"/>
          <w:sz w:val="24"/>
          <w:szCs w:val="24"/>
        </w:rPr>
        <w:t>；</w:t>
      </w:r>
      <w:r>
        <w:rPr>
          <w:rFonts w:hint="eastAsia" w:ascii="Times New Roman" w:hAnsi="Times New Roman" w:eastAsia="宋体"/>
          <w:sz w:val="24"/>
          <w:szCs w:val="24"/>
        </w:rPr>
        <w:t>d</w:t>
      </w:r>
      <w:r>
        <w:rPr>
          <w:rFonts w:ascii="Times New Roman" w:hAnsi="Times New Roman" w:eastAsia="宋体"/>
          <w:sz w:val="24"/>
          <w:szCs w:val="24"/>
        </w:rPr>
        <w:t>.</w:t>
      </w:r>
      <w:r>
        <w:rPr>
          <w:rFonts w:hint="eastAsia" w:ascii="Times New Roman" w:hAnsi="Times New Roman" w:eastAsia="宋体"/>
          <w:sz w:val="24"/>
          <w:szCs w:val="24"/>
        </w:rPr>
        <w:t>招标文件要求提供的和投标人认为需要提供</w:t>
      </w:r>
      <w:r>
        <w:rPr>
          <w:rFonts w:ascii="Times New Roman" w:hAnsi="Times New Roman" w:eastAsia="宋体"/>
          <w:sz w:val="24"/>
          <w:szCs w:val="24"/>
        </w:rPr>
        <w:t>的其他资料</w:t>
      </w:r>
      <w:r>
        <w:rPr>
          <w:rFonts w:hint="eastAsia" w:ascii="Times New Roman" w:hAnsi="Times New Roman" w:eastAsia="宋体"/>
          <w:sz w:val="24"/>
          <w:szCs w:val="24"/>
        </w:rPr>
        <w:t>（公司简介和信用证书等）</w:t>
      </w:r>
      <w:r>
        <w:rPr>
          <w:rFonts w:ascii="Times New Roman" w:hAnsi="Times New Roman" w:eastAsia="宋体"/>
          <w:sz w:val="24"/>
          <w:szCs w:val="24"/>
        </w:rPr>
        <w:t>，等等。</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4</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3技术文件编制一式二份，包括</w:t>
      </w:r>
      <w:r>
        <w:rPr>
          <w:rFonts w:hint="eastAsia" w:ascii="Times New Roman" w:hAnsi="Times New Roman" w:eastAsia="宋体"/>
          <w:sz w:val="24"/>
          <w:szCs w:val="24"/>
        </w:rPr>
        <w:t>：a.技术方案；b.第1</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.3条技术评审各评分项所对应的其他响应材料；c.交货期及工期、</w:t>
      </w:r>
      <w:r>
        <w:rPr>
          <w:rFonts w:ascii="Times New Roman" w:hAnsi="Times New Roman" w:eastAsia="宋体"/>
          <w:sz w:val="24"/>
          <w:szCs w:val="24"/>
        </w:rPr>
        <w:t>质量承诺</w:t>
      </w:r>
      <w:r>
        <w:rPr>
          <w:rFonts w:hint="eastAsia" w:ascii="Times New Roman" w:hAnsi="Times New Roman" w:eastAsia="宋体"/>
          <w:sz w:val="24"/>
          <w:szCs w:val="24"/>
        </w:rPr>
        <w:t>、质保承诺；d.三年内类似</w:t>
      </w:r>
      <w:r>
        <w:rPr>
          <w:rFonts w:ascii="Times New Roman" w:hAnsi="Times New Roman" w:eastAsia="宋体"/>
          <w:sz w:val="24"/>
          <w:szCs w:val="24"/>
        </w:rPr>
        <w:t>业绩合同复印件</w:t>
      </w:r>
      <w:r>
        <w:rPr>
          <w:rFonts w:hint="eastAsia" w:ascii="Times New Roman" w:hAnsi="Times New Roman" w:eastAsia="宋体"/>
          <w:sz w:val="24"/>
          <w:szCs w:val="24"/>
        </w:rPr>
        <w:t>；e.</w:t>
      </w:r>
      <w:r>
        <w:rPr>
          <w:rFonts w:ascii="Times New Roman" w:hAnsi="Times New Roman" w:eastAsia="宋体"/>
          <w:sz w:val="24"/>
          <w:szCs w:val="24"/>
        </w:rPr>
        <w:t>技术偏离表</w:t>
      </w:r>
      <w:r>
        <w:rPr>
          <w:rFonts w:hint="eastAsia" w:ascii="Times New Roman" w:hAnsi="Times New Roman" w:eastAsia="宋体"/>
          <w:sz w:val="24"/>
          <w:szCs w:val="24"/>
        </w:rPr>
        <w:t>；f.招标</w:t>
      </w:r>
      <w:r>
        <w:rPr>
          <w:rFonts w:ascii="Times New Roman" w:hAnsi="Times New Roman" w:eastAsia="宋体"/>
          <w:sz w:val="24"/>
          <w:szCs w:val="24"/>
        </w:rPr>
        <w:t>文件要求提供的其它技术方面的文件，等等。</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4</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4商务文件编制一式一份，包括</w:t>
      </w:r>
      <w:r>
        <w:rPr>
          <w:rFonts w:hint="eastAsia" w:ascii="Times New Roman" w:hAnsi="Times New Roman" w:eastAsia="宋体"/>
          <w:sz w:val="24"/>
          <w:szCs w:val="24"/>
        </w:rPr>
        <w:t>：a.投标</w:t>
      </w:r>
      <w:r>
        <w:rPr>
          <w:rFonts w:ascii="Times New Roman" w:hAnsi="Times New Roman" w:eastAsia="宋体"/>
          <w:sz w:val="24"/>
          <w:szCs w:val="24"/>
        </w:rPr>
        <w:t>报价表</w:t>
      </w:r>
      <w:r>
        <w:rPr>
          <w:rFonts w:hint="eastAsia" w:ascii="Times New Roman" w:hAnsi="Times New Roman" w:eastAsia="宋体"/>
          <w:sz w:val="24"/>
          <w:szCs w:val="24"/>
        </w:rPr>
        <w:t>（必须由法定代表人或被授权人签字或盖章）；b.</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4</w:t>
      </w:r>
      <w:r>
        <w:rPr>
          <w:rFonts w:ascii="Times New Roman" w:hAnsi="Times New Roman" w:eastAsia="宋体"/>
          <w:sz w:val="24"/>
          <w:szCs w:val="24"/>
        </w:rPr>
        <w:t>.</w:t>
      </w:r>
      <w:r>
        <w:rPr>
          <w:rFonts w:hint="eastAsia" w:ascii="Times New Roman" w:hAnsi="Times New Roman" w:eastAsia="宋体"/>
          <w:sz w:val="24"/>
          <w:szCs w:val="24"/>
        </w:rPr>
        <w:t>2</w:t>
      </w:r>
      <w:r>
        <w:rPr>
          <w:rFonts w:ascii="Times New Roman" w:hAnsi="Times New Roman" w:eastAsia="宋体"/>
          <w:sz w:val="24"/>
          <w:szCs w:val="24"/>
        </w:rPr>
        <w:t>除</w:t>
      </w:r>
      <w:r>
        <w:rPr>
          <w:rFonts w:hint="eastAsia" w:ascii="Times New Roman" w:hAnsi="Times New Roman" w:eastAsia="宋体"/>
          <w:sz w:val="24"/>
          <w:szCs w:val="24"/>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5</w:t>
      </w:r>
      <w:r>
        <w:rPr>
          <w:rFonts w:hint="eastAsia" w:ascii="Times New Roman" w:hAnsi="Times New Roman" w:eastAsia="宋体"/>
          <w:b/>
          <w:sz w:val="24"/>
          <w:szCs w:val="24"/>
        </w:rPr>
        <w:t>.评标小组</w:t>
      </w:r>
      <w:r>
        <w:rPr>
          <w:rFonts w:hint="eastAsia" w:ascii="Times New Roman" w:hAnsi="Times New Roman" w:eastAsia="宋体"/>
          <w:sz w:val="24"/>
          <w:szCs w:val="24"/>
        </w:rPr>
        <w:t>：评标小组由福建省青山纸业股份有限公司有关部门人员组成。</w:t>
      </w:r>
    </w:p>
    <w:p>
      <w:pPr>
        <w:spacing w:line="420" w:lineRule="exact"/>
        <w:ind w:firstLine="482" w:firstLineChars="200"/>
        <w:rPr>
          <w:rFonts w:ascii="Times New Roman" w:hAnsi="Times New Roman" w:eastAsia="宋体" w:cs="Times New Roman"/>
          <w:sz w:val="24"/>
          <w:szCs w:val="24"/>
          <w:shd w:val="clear" w:color="auto" w:fill="FFFFFF"/>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6</w:t>
      </w:r>
      <w:r>
        <w:rPr>
          <w:rFonts w:hint="eastAsia" w:ascii="Times New Roman" w:hAnsi="Times New Roman" w:eastAsia="宋体"/>
          <w:b/>
          <w:sz w:val="24"/>
          <w:szCs w:val="24"/>
        </w:rPr>
        <w:t>.发布招标公告及结果公示媒体</w:t>
      </w:r>
      <w:r>
        <w:rPr>
          <w:rFonts w:hint="eastAsia" w:ascii="Times New Roman" w:hAnsi="Times New Roman" w:eastAsia="宋体"/>
          <w:sz w:val="24"/>
          <w:szCs w:val="24"/>
        </w:rPr>
        <w:t>：</w:t>
      </w:r>
      <w:r>
        <w:rPr>
          <w:rFonts w:ascii="Times New Roman" w:hAnsi="Times New Roman" w:eastAsia="宋体" w:cs="Times New Roman"/>
          <w:sz w:val="24"/>
          <w:szCs w:val="24"/>
          <w:shd w:val="clear" w:color="auto" w:fill="FFFFFF"/>
        </w:rPr>
        <w:t>福建省青山纸业股份有限公司</w:t>
      </w:r>
      <w:r>
        <w:rPr>
          <w:rFonts w:ascii="Times New Roman" w:hAnsi="Times New Roman"/>
        </w:rPr>
        <w:fldChar w:fldCharType="begin"/>
      </w:r>
      <w:r>
        <w:rPr>
          <w:rFonts w:ascii="Times New Roman" w:hAnsi="Times New Roman"/>
        </w:rPr>
        <w:instrText xml:space="preserve"> HYPERLINK "http://www.qingshanpaper.com/" </w:instrText>
      </w:r>
      <w:r>
        <w:rPr>
          <w:rFonts w:ascii="Times New Roman" w:hAnsi="Times New Roman"/>
        </w:rPr>
        <w:fldChar w:fldCharType="separate"/>
      </w:r>
      <w:r>
        <w:rPr>
          <w:rStyle w:val="10"/>
          <w:rFonts w:ascii="Times New Roman" w:hAnsi="Times New Roman" w:eastAsia="宋体" w:cs="Times New Roman"/>
          <w:sz w:val="24"/>
          <w:szCs w:val="24"/>
          <w:shd w:val="clear" w:color="auto" w:fill="FFFFFF"/>
        </w:rPr>
        <w:t>www.qingshanpaper.com</w:t>
      </w:r>
      <w:r>
        <w:rPr>
          <w:rStyle w:val="10"/>
          <w:rFonts w:ascii="Times New Roman" w:hAnsi="Times New Roman" w:eastAsia="宋体" w:cs="Times New Roman"/>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rPr>
        <w:t>、福建省轻纺(控股)有限责任公司</w:t>
      </w:r>
      <w:r>
        <w:rPr>
          <w:rFonts w:ascii="Times New Roman" w:hAnsi="Times New Roman"/>
        </w:rPr>
        <w:fldChar w:fldCharType="begin"/>
      </w:r>
      <w:r>
        <w:rPr>
          <w:rFonts w:ascii="Times New Roman" w:hAnsi="Times New Roman"/>
        </w:rPr>
        <w:instrText xml:space="preserve"> HYPERLINK "http://www.fjqfkg.com" </w:instrText>
      </w:r>
      <w:r>
        <w:rPr>
          <w:rFonts w:ascii="Times New Roman" w:hAnsi="Times New Roman"/>
        </w:rPr>
        <w:fldChar w:fldCharType="separate"/>
      </w:r>
      <w:r>
        <w:rPr>
          <w:rStyle w:val="10"/>
          <w:rFonts w:hint="eastAsia" w:ascii="Times New Roman" w:hAnsi="Times New Roman" w:eastAsia="宋体" w:cs="Times New Roman"/>
          <w:sz w:val="24"/>
          <w:szCs w:val="24"/>
          <w:shd w:val="clear" w:color="auto" w:fill="FFFFFF"/>
        </w:rPr>
        <w:t>www.fjqfkg.com</w:t>
      </w:r>
      <w:r>
        <w:rPr>
          <w:rStyle w:val="10"/>
          <w:rFonts w:hint="eastAsia" w:ascii="Times New Roman" w:hAnsi="Times New Roman" w:eastAsia="宋体" w:cs="Times New Roman"/>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rPr>
        <w:t>、</w:t>
      </w:r>
      <w:r>
        <w:rPr>
          <w:rFonts w:hint="eastAsia" w:ascii="Times New Roman" w:hAnsi="Times New Roman" w:eastAsia="宋体"/>
          <w:sz w:val="24"/>
          <w:szCs w:val="24"/>
        </w:rPr>
        <w:t>1688采购门户</w:t>
      </w:r>
      <w:r>
        <w:rPr>
          <w:rFonts w:ascii="Times New Roman" w:hAnsi="Times New Roman"/>
        </w:rPr>
        <w:fldChar w:fldCharType="begin"/>
      </w:r>
      <w:r>
        <w:rPr>
          <w:rFonts w:ascii="Times New Roman" w:hAnsi="Times New Roman"/>
        </w:rPr>
        <w:instrText xml:space="preserve"> HYPERLINK "https://fjqszy.go.1688.com" </w:instrText>
      </w:r>
      <w:r>
        <w:rPr>
          <w:rFonts w:ascii="Times New Roman" w:hAnsi="Times New Roman"/>
        </w:rPr>
        <w:fldChar w:fldCharType="separate"/>
      </w:r>
      <w:r>
        <w:rPr>
          <w:rStyle w:val="10"/>
          <w:rFonts w:hint="eastAsia" w:ascii="Times New Roman" w:hAnsi="Times New Roman" w:eastAsia="宋体"/>
          <w:sz w:val="24"/>
          <w:szCs w:val="24"/>
        </w:rPr>
        <w:t>https://fjqszy.go.1688.com</w:t>
      </w:r>
      <w:r>
        <w:rPr>
          <w:rStyle w:val="10"/>
          <w:rFonts w:hint="eastAsia" w:ascii="Times New Roman" w:hAnsi="Times New Roman" w:eastAsia="宋体"/>
          <w:sz w:val="24"/>
          <w:szCs w:val="24"/>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sz w:val="24"/>
          <w:szCs w:val="24"/>
          <w:shd w:val="clear" w:color="auto" w:fill="FFFFFF"/>
        </w:rPr>
        <w:t>。</w:t>
      </w:r>
    </w:p>
    <w:p>
      <w:pPr>
        <w:spacing w:line="420" w:lineRule="exact"/>
        <w:ind w:firstLine="482" w:firstLineChars="200"/>
        <w:rPr>
          <w:rFonts w:ascii="Times New Roman" w:hAnsi="Times New Roman" w:eastAsia="宋体"/>
          <w:b/>
          <w:bCs/>
          <w:sz w:val="24"/>
          <w:szCs w:val="24"/>
        </w:rPr>
      </w:pPr>
      <w:r>
        <w:rPr>
          <w:rFonts w:hint="eastAsia" w:ascii="Times New Roman" w:hAnsi="Times New Roman" w:eastAsia="宋体"/>
          <w:b/>
          <w:bCs/>
          <w:sz w:val="24"/>
          <w:szCs w:val="24"/>
        </w:rPr>
        <w:t>1</w:t>
      </w:r>
      <w:r>
        <w:rPr>
          <w:rFonts w:hint="eastAsia" w:ascii="Times New Roman" w:hAnsi="Times New Roman" w:eastAsia="宋体"/>
          <w:b/>
          <w:bCs/>
          <w:sz w:val="24"/>
          <w:szCs w:val="24"/>
          <w:lang w:val="en-US" w:eastAsia="zh-CN"/>
        </w:rPr>
        <w:t>7</w:t>
      </w:r>
      <w:r>
        <w:rPr>
          <w:rFonts w:hint="eastAsia" w:ascii="Times New Roman" w:hAnsi="Times New Roman" w:eastAsia="宋体"/>
          <w:b/>
          <w:bCs/>
          <w:sz w:val="24"/>
          <w:szCs w:val="24"/>
        </w:rPr>
        <w:t>.联系方式</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招标办公室：刘玲0598-5658595</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技术联系人：郑海强15959834105</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商务联系人：陈初发0598-5658513</w:t>
      </w:r>
    </w:p>
    <w:p>
      <w:pPr>
        <w:spacing w:line="240" w:lineRule="auto"/>
        <w:ind w:firstLine="480" w:firstLineChars="200"/>
        <w:rPr>
          <w:rFonts w:hint="eastAsia" w:ascii="Times New Roman" w:hAnsi="Times New Roman" w:eastAsia="宋体"/>
          <w:sz w:val="24"/>
          <w:szCs w:val="24"/>
        </w:rPr>
      </w:pPr>
    </w:p>
    <w:p>
      <w:pPr>
        <w:spacing w:line="420" w:lineRule="exact"/>
        <w:ind w:firstLine="480" w:firstLineChars="200"/>
        <w:rPr>
          <w:rFonts w:hint="eastAsia" w:ascii="Times New Roman" w:hAnsi="Times New Roman" w:eastAsia="宋体"/>
          <w:sz w:val="24"/>
          <w:szCs w:val="24"/>
          <w:lang w:eastAsia="zh-CN"/>
        </w:rPr>
      </w:pPr>
      <w:r>
        <w:rPr>
          <w:rFonts w:hint="eastAsia" w:ascii="Times New Roman" w:hAnsi="Times New Roman" w:eastAsia="宋体"/>
          <w:sz w:val="24"/>
          <w:szCs w:val="24"/>
        </w:rPr>
        <w:t>附件1：</w:t>
      </w:r>
      <w:r>
        <w:rPr>
          <w:rFonts w:hint="eastAsia" w:ascii="Times New Roman" w:hAnsi="Times New Roman" w:eastAsia="宋体"/>
          <w:sz w:val="24"/>
          <w:szCs w:val="24"/>
          <w:lang w:eastAsia="zh-CN"/>
        </w:rPr>
        <w:t>报价表（参考）</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附件2：法定代表人授权书（格式）</w:t>
      </w:r>
    </w:p>
    <w:p>
      <w:pPr>
        <w:spacing w:line="240" w:lineRule="auto"/>
        <w:ind w:firstLine="480" w:firstLineChars="200"/>
        <w:rPr>
          <w:rFonts w:ascii="Times New Roman" w:hAnsi="Times New Roman" w:eastAsia="宋体"/>
          <w:sz w:val="24"/>
          <w:szCs w:val="24"/>
        </w:rPr>
      </w:pPr>
    </w:p>
    <w:p>
      <w:pPr>
        <w:spacing w:line="420" w:lineRule="exact"/>
        <w:jc w:val="right"/>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wordWrap w:val="0"/>
        <w:spacing w:line="420" w:lineRule="exact"/>
        <w:jc w:val="right"/>
        <w:rPr>
          <w:rFonts w:ascii="Times New Roman" w:hAnsi="Times New Roman" w:eastAsia="宋体"/>
          <w:sz w:val="24"/>
          <w:szCs w:val="24"/>
        </w:rPr>
      </w:pPr>
      <w:r>
        <w:rPr>
          <w:rFonts w:ascii="Times New Roman" w:hAnsi="Times New Roman" w:eastAsia="宋体"/>
          <w:sz w:val="24"/>
          <w:szCs w:val="24"/>
        </w:rPr>
        <w:t>招标办公室</w:t>
      </w:r>
      <w:r>
        <w:rPr>
          <w:rFonts w:hint="eastAsia" w:ascii="Times New Roman" w:hAnsi="Times New Roman" w:eastAsia="宋体"/>
          <w:sz w:val="24"/>
          <w:szCs w:val="24"/>
        </w:rPr>
        <w:t>　　　　</w:t>
      </w:r>
    </w:p>
    <w:p>
      <w:pPr>
        <w:wordWrap w:val="0"/>
        <w:spacing w:line="420" w:lineRule="exact"/>
        <w:jc w:val="right"/>
        <w:rPr>
          <w:rFonts w:ascii="Times New Roman" w:hAnsi="Times New Roman" w:eastAsia="宋体"/>
          <w:bCs/>
          <w:sz w:val="24"/>
          <w:szCs w:val="24"/>
        </w:rPr>
      </w:pPr>
      <w:r>
        <w:rPr>
          <w:rFonts w:ascii="Times New Roman" w:hAnsi="Times New Roman" w:eastAsia="宋体"/>
          <w:sz w:val="24"/>
          <w:szCs w:val="24"/>
        </w:rPr>
        <w:t>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eastAsia="宋体"/>
          <w:sz w:val="24"/>
          <w:szCs w:val="24"/>
        </w:rPr>
        <w:t>1</w:t>
      </w:r>
      <w:r>
        <w:rPr>
          <w:rFonts w:ascii="Times New Roman" w:hAnsi="Times New Roman" w:eastAsia="宋体"/>
          <w:sz w:val="24"/>
          <w:szCs w:val="24"/>
        </w:rPr>
        <w:t>月</w:t>
      </w:r>
      <w:r>
        <w:rPr>
          <w:rFonts w:hint="eastAsia" w:ascii="Times New Roman" w:hAnsi="Times New Roman" w:eastAsia="宋体"/>
          <w:sz w:val="24"/>
          <w:szCs w:val="24"/>
          <w:lang w:val="en-US" w:eastAsia="zh-CN"/>
        </w:rPr>
        <w:t>1</w:t>
      </w:r>
      <w:r>
        <w:rPr>
          <w:rFonts w:hint="eastAsia" w:ascii="Times New Roman" w:hAnsi="Times New Roman"/>
          <w:sz w:val="24"/>
          <w:szCs w:val="24"/>
          <w:lang w:val="en-US" w:eastAsia="zh-CN"/>
        </w:rPr>
        <w:t>1</w:t>
      </w:r>
      <w:r>
        <w:rPr>
          <w:rFonts w:ascii="Times New Roman" w:hAnsi="Times New Roman" w:eastAsia="宋体"/>
          <w:sz w:val="24"/>
          <w:szCs w:val="24"/>
        </w:rPr>
        <w:t>日</w:t>
      </w:r>
      <w:r>
        <w:rPr>
          <w:rFonts w:hint="eastAsia" w:ascii="Times New Roman" w:hAnsi="Times New Roman" w:eastAsia="宋体"/>
          <w:sz w:val="24"/>
          <w:szCs w:val="24"/>
        </w:rPr>
        <w:t>　　　</w:t>
      </w:r>
    </w:p>
    <w:p>
      <w:pPr>
        <w:spacing w:line="420" w:lineRule="exact"/>
        <w:rPr>
          <w:rFonts w:ascii="Times New Roman" w:hAnsi="Times New Roman" w:eastAsia="宋体" w:cs="Times New Roman"/>
          <w:bCs/>
          <w:sz w:val="24"/>
          <w:szCs w:val="24"/>
        </w:rPr>
      </w:pPr>
    </w:p>
    <w:p>
      <w:pPr>
        <w:spacing w:line="420" w:lineRule="exact"/>
        <w:rPr>
          <w:rFonts w:ascii="Times New Roman" w:hAnsi="Times New Roman" w:eastAsia="宋体" w:cs="Times New Roman"/>
          <w:bCs/>
          <w:sz w:val="24"/>
          <w:szCs w:val="24"/>
        </w:rPr>
      </w:pPr>
    </w:p>
    <w:p>
      <w:pPr>
        <w:spacing w:line="420" w:lineRule="exact"/>
        <w:rPr>
          <w:rFonts w:hint="eastAsia" w:ascii="Times New Roman" w:hAnsi="Times New Roman" w:eastAsia="宋体" w:cs="Times New Roman"/>
          <w:bCs/>
          <w:sz w:val="24"/>
          <w:szCs w:val="24"/>
        </w:rPr>
      </w:pPr>
      <w:r>
        <w:rPr>
          <w:rFonts w:hint="eastAsia" w:ascii="Times New Roman" w:hAnsi="Times New Roman" w:eastAsia="宋体" w:cs="Times New Roman"/>
          <w:bCs/>
          <w:sz w:val="24"/>
          <w:szCs w:val="24"/>
        </w:rPr>
        <w:br w:type="page"/>
      </w:r>
    </w:p>
    <w:p>
      <w:pPr>
        <w:spacing w:line="420" w:lineRule="exact"/>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eastAsia="zh-CN"/>
        </w:rPr>
        <w:t>附件</w:t>
      </w:r>
      <w:r>
        <w:rPr>
          <w:rFonts w:hint="eastAsia" w:ascii="Times New Roman" w:hAnsi="Times New Roman" w:eastAsia="宋体" w:cs="Times New Roman"/>
          <w:bCs/>
          <w:sz w:val="24"/>
          <w:szCs w:val="24"/>
          <w:lang w:val="en-US" w:eastAsia="zh-CN"/>
        </w:rPr>
        <w:t>1：报价表（参考）</w:t>
      </w:r>
    </w:p>
    <w:p>
      <w:pPr>
        <w:spacing w:line="420" w:lineRule="exact"/>
        <w:rPr>
          <w:rFonts w:hint="eastAsia" w:ascii="Times New Roman" w:hAnsi="Times New Roman" w:eastAsia="宋体" w:cs="Times New Roman"/>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eastAsia="宋体" w:cs="Times New Roman"/>
          <w:b/>
          <w:bCs w:val="0"/>
          <w:spacing w:val="20"/>
          <w:sz w:val="32"/>
          <w:szCs w:val="32"/>
          <w:lang w:val="en-US" w:eastAsia="zh-CN"/>
        </w:rPr>
      </w:pPr>
      <w:r>
        <w:rPr>
          <w:rFonts w:hint="eastAsia" w:ascii="Times New Roman" w:hAnsi="Times New Roman" w:eastAsia="宋体" w:cs="Times New Roman"/>
          <w:b/>
          <w:bCs w:val="0"/>
          <w:spacing w:val="20"/>
          <w:sz w:val="32"/>
          <w:szCs w:val="32"/>
          <w:lang w:val="en-US" w:eastAsia="zh-CN"/>
        </w:rPr>
        <w:t>报价表</w:t>
      </w:r>
    </w:p>
    <w:p>
      <w:pPr>
        <w:keepNext w:val="0"/>
        <w:keepLines w:val="0"/>
        <w:pageBreakBefore w:val="0"/>
        <w:widowControl w:val="0"/>
        <w:kinsoku/>
        <w:wordWrap/>
        <w:overflowPunct/>
        <w:topLinePunct w:val="0"/>
        <w:autoSpaceDE/>
        <w:autoSpaceDN/>
        <w:bidi w:val="0"/>
        <w:adjustRightInd/>
        <w:snapToGrid/>
        <w:spacing w:after="157" w:afterLines="50" w:line="420" w:lineRule="exact"/>
        <w:jc w:val="center"/>
        <w:textAlignment w:val="auto"/>
        <w:outlineLvl w:val="9"/>
        <w:rPr>
          <w:rFonts w:hint="eastAsia" w:ascii="Times New Roman" w:hAnsi="Times New Roman" w:eastAsia="宋体" w:cs="Times New Roman"/>
          <w:b w:val="0"/>
          <w:bCs/>
          <w:spacing w:val="20"/>
          <w:sz w:val="24"/>
          <w:szCs w:val="24"/>
          <w:lang w:val="en-US" w:eastAsia="zh-CN"/>
        </w:rPr>
      </w:pPr>
      <w:r>
        <w:rPr>
          <w:rFonts w:hint="eastAsia" w:ascii="Times New Roman" w:hAnsi="Times New Roman" w:eastAsia="宋体" w:cs="Times New Roman"/>
          <w:b w:val="0"/>
          <w:bCs/>
          <w:spacing w:val="20"/>
          <w:sz w:val="24"/>
          <w:szCs w:val="24"/>
          <w:lang w:val="en-US" w:eastAsia="zh-CN"/>
        </w:rPr>
        <w:t>（招标编号：2023SB010）</w:t>
      </w:r>
    </w:p>
    <w:p>
      <w:pPr>
        <w:keepNext w:val="0"/>
        <w:keepLines w:val="0"/>
        <w:pageBreakBefore w:val="0"/>
        <w:widowControl w:val="0"/>
        <w:kinsoku/>
        <w:wordWrap/>
        <w:overflowPunct/>
        <w:topLinePunct w:val="0"/>
        <w:autoSpaceDE/>
        <w:autoSpaceDN/>
        <w:bidi w:val="0"/>
        <w:adjustRightInd/>
        <w:snapToGrid/>
        <w:spacing w:after="157" w:afterLines="50" w:line="420" w:lineRule="exact"/>
        <w:jc w:val="center"/>
        <w:textAlignment w:val="auto"/>
        <w:outlineLvl w:val="9"/>
        <w:rPr>
          <w:rFonts w:hint="eastAsia" w:ascii="Times New Roman" w:hAnsi="Times New Roman" w:eastAsia="宋体" w:cs="Times New Roman"/>
          <w:b w:val="0"/>
          <w:bCs/>
          <w:spacing w:val="20"/>
          <w:sz w:val="24"/>
          <w:szCs w:val="24"/>
          <w:lang w:val="en-US" w:eastAsia="zh-CN"/>
        </w:rPr>
      </w:pPr>
    </w:p>
    <w:tbl>
      <w:tblPr>
        <w:tblStyle w:val="11"/>
        <w:tblW w:w="9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2595"/>
        <w:gridCol w:w="615"/>
        <w:gridCol w:w="1380"/>
        <w:gridCol w:w="1230"/>
        <w:gridCol w:w="1005"/>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474"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序号</w:t>
            </w:r>
          </w:p>
        </w:tc>
        <w:tc>
          <w:tcPr>
            <w:tcW w:w="2595"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名称</w:t>
            </w:r>
          </w:p>
        </w:tc>
        <w:tc>
          <w:tcPr>
            <w:tcW w:w="615"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数量</w:t>
            </w:r>
          </w:p>
        </w:tc>
        <w:tc>
          <w:tcPr>
            <w:tcW w:w="1380"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单价</w:t>
            </w:r>
          </w:p>
          <w:p>
            <w:pPr>
              <w:spacing w:line="240" w:lineRule="auto"/>
              <w:jc w:val="center"/>
              <w:rPr>
                <w:rFonts w:hint="eastAsia" w:ascii="Times New Roman" w:hAnsi="Times New Roman" w:eastAsia="宋体"/>
                <w:szCs w:val="21"/>
                <w:lang w:eastAsia="zh-CN"/>
              </w:rPr>
            </w:pPr>
            <w:r>
              <w:rPr>
                <w:rFonts w:hint="eastAsia" w:ascii="Times New Roman" w:hAnsi="Times New Roman"/>
                <w:szCs w:val="21"/>
                <w:lang w:eastAsia="zh-CN"/>
              </w:rPr>
              <w:t>（元）</w:t>
            </w:r>
          </w:p>
        </w:tc>
        <w:tc>
          <w:tcPr>
            <w:tcW w:w="1230"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总价</w:t>
            </w:r>
          </w:p>
          <w:p>
            <w:pPr>
              <w:spacing w:line="240" w:lineRule="auto"/>
              <w:jc w:val="center"/>
              <w:rPr>
                <w:rFonts w:ascii="Times New Roman" w:hAnsi="Times New Roman" w:eastAsia="宋体"/>
                <w:szCs w:val="21"/>
              </w:rPr>
            </w:pPr>
            <w:r>
              <w:rPr>
                <w:rFonts w:hint="eastAsia" w:ascii="Times New Roman" w:hAnsi="Times New Roman"/>
                <w:szCs w:val="21"/>
                <w:lang w:eastAsia="zh-CN"/>
              </w:rPr>
              <w:t>（元）</w:t>
            </w:r>
          </w:p>
        </w:tc>
        <w:tc>
          <w:tcPr>
            <w:tcW w:w="1005" w:type="dxa"/>
            <w:vAlign w:val="center"/>
          </w:tcPr>
          <w:p>
            <w:pPr>
              <w:spacing w:line="240" w:lineRule="auto"/>
              <w:jc w:val="center"/>
              <w:rPr>
                <w:rFonts w:hint="eastAsia" w:ascii="Times New Roman" w:hAnsi="Times New Roman" w:eastAsia="宋体"/>
                <w:szCs w:val="21"/>
                <w:lang w:eastAsia="zh-CN"/>
              </w:rPr>
            </w:pPr>
            <w:r>
              <w:rPr>
                <w:rFonts w:hint="eastAsia" w:ascii="Times New Roman" w:hAnsi="Times New Roman" w:eastAsia="宋体"/>
                <w:szCs w:val="21"/>
                <w:lang w:eastAsia="zh-CN"/>
              </w:rPr>
              <w:t>税率</w:t>
            </w:r>
          </w:p>
        </w:tc>
        <w:tc>
          <w:tcPr>
            <w:tcW w:w="1988"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jc w:val="center"/>
        </w:trPr>
        <w:tc>
          <w:tcPr>
            <w:tcW w:w="474"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1</w:t>
            </w:r>
          </w:p>
        </w:tc>
        <w:tc>
          <w:tcPr>
            <w:tcW w:w="2595"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新建灰库及设备</w:t>
            </w:r>
          </w:p>
        </w:tc>
        <w:tc>
          <w:tcPr>
            <w:tcW w:w="615"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1套</w:t>
            </w:r>
          </w:p>
        </w:tc>
        <w:tc>
          <w:tcPr>
            <w:tcW w:w="1380" w:type="dxa"/>
            <w:vAlign w:val="center"/>
          </w:tcPr>
          <w:p>
            <w:pPr>
              <w:spacing w:line="240" w:lineRule="auto"/>
              <w:jc w:val="center"/>
              <w:rPr>
                <w:rFonts w:ascii="Times New Roman" w:hAnsi="Times New Roman" w:eastAsia="宋体"/>
                <w:szCs w:val="21"/>
              </w:rPr>
            </w:pPr>
          </w:p>
        </w:tc>
        <w:tc>
          <w:tcPr>
            <w:tcW w:w="1230" w:type="dxa"/>
            <w:vAlign w:val="center"/>
          </w:tcPr>
          <w:p>
            <w:pPr>
              <w:spacing w:line="240" w:lineRule="auto"/>
              <w:jc w:val="center"/>
              <w:rPr>
                <w:rFonts w:ascii="Times New Roman" w:hAnsi="Times New Roman" w:eastAsia="宋体"/>
                <w:szCs w:val="21"/>
              </w:rPr>
            </w:pPr>
          </w:p>
        </w:tc>
        <w:tc>
          <w:tcPr>
            <w:tcW w:w="1005" w:type="dxa"/>
            <w:vAlign w:val="center"/>
          </w:tcPr>
          <w:p>
            <w:pPr>
              <w:spacing w:line="240" w:lineRule="auto"/>
              <w:jc w:val="center"/>
              <w:rPr>
                <w:rFonts w:ascii="Times New Roman" w:hAnsi="Times New Roman" w:eastAsia="宋体"/>
                <w:szCs w:val="21"/>
              </w:rPr>
            </w:pPr>
          </w:p>
        </w:tc>
        <w:tc>
          <w:tcPr>
            <w:tcW w:w="1988"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含利旧部分的拆除移位维修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74"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2</w:t>
            </w:r>
          </w:p>
        </w:tc>
        <w:tc>
          <w:tcPr>
            <w:tcW w:w="2595"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灰库基础设计、土建施工</w:t>
            </w:r>
          </w:p>
        </w:tc>
        <w:tc>
          <w:tcPr>
            <w:tcW w:w="615" w:type="dxa"/>
            <w:vAlign w:val="center"/>
          </w:tcPr>
          <w:p>
            <w:pPr>
              <w:spacing w:line="240" w:lineRule="auto"/>
              <w:jc w:val="center"/>
              <w:rPr>
                <w:rFonts w:ascii="Times New Roman" w:hAnsi="Times New Roman" w:eastAsia="宋体"/>
                <w:szCs w:val="21"/>
              </w:rPr>
            </w:pPr>
          </w:p>
        </w:tc>
        <w:tc>
          <w:tcPr>
            <w:tcW w:w="1380" w:type="dxa"/>
            <w:vAlign w:val="center"/>
          </w:tcPr>
          <w:p>
            <w:pPr>
              <w:spacing w:line="240" w:lineRule="auto"/>
              <w:jc w:val="center"/>
              <w:rPr>
                <w:rFonts w:ascii="Times New Roman" w:hAnsi="Times New Roman" w:eastAsia="宋体"/>
                <w:szCs w:val="21"/>
              </w:rPr>
            </w:pPr>
          </w:p>
        </w:tc>
        <w:tc>
          <w:tcPr>
            <w:tcW w:w="1230" w:type="dxa"/>
            <w:vAlign w:val="center"/>
          </w:tcPr>
          <w:p>
            <w:pPr>
              <w:spacing w:line="240" w:lineRule="auto"/>
              <w:jc w:val="center"/>
              <w:rPr>
                <w:rFonts w:ascii="Times New Roman" w:hAnsi="Times New Roman" w:eastAsia="宋体"/>
                <w:szCs w:val="21"/>
              </w:rPr>
            </w:pPr>
          </w:p>
        </w:tc>
        <w:tc>
          <w:tcPr>
            <w:tcW w:w="1005" w:type="dxa"/>
            <w:vAlign w:val="center"/>
          </w:tcPr>
          <w:p>
            <w:pPr>
              <w:spacing w:line="240" w:lineRule="auto"/>
              <w:jc w:val="center"/>
              <w:rPr>
                <w:rFonts w:ascii="Times New Roman" w:hAnsi="Times New Roman" w:eastAsia="宋体"/>
                <w:szCs w:val="21"/>
              </w:rPr>
            </w:pPr>
          </w:p>
        </w:tc>
        <w:tc>
          <w:tcPr>
            <w:tcW w:w="1988"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含地质勘探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1" w:hRule="atLeast"/>
          <w:jc w:val="center"/>
        </w:trPr>
        <w:tc>
          <w:tcPr>
            <w:tcW w:w="474"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3</w:t>
            </w:r>
          </w:p>
        </w:tc>
        <w:tc>
          <w:tcPr>
            <w:tcW w:w="2595"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输送管道、压缩空气管道安装及管架的设计和土建施工</w:t>
            </w:r>
          </w:p>
        </w:tc>
        <w:tc>
          <w:tcPr>
            <w:tcW w:w="615" w:type="dxa"/>
            <w:vAlign w:val="center"/>
          </w:tcPr>
          <w:p>
            <w:pPr>
              <w:spacing w:line="240" w:lineRule="auto"/>
              <w:jc w:val="center"/>
              <w:rPr>
                <w:rFonts w:ascii="Times New Roman" w:hAnsi="Times New Roman" w:eastAsia="宋体"/>
                <w:szCs w:val="21"/>
              </w:rPr>
            </w:pPr>
          </w:p>
        </w:tc>
        <w:tc>
          <w:tcPr>
            <w:tcW w:w="1380" w:type="dxa"/>
            <w:vAlign w:val="center"/>
          </w:tcPr>
          <w:p>
            <w:pPr>
              <w:spacing w:line="240" w:lineRule="auto"/>
              <w:jc w:val="center"/>
              <w:rPr>
                <w:rFonts w:ascii="Times New Roman" w:hAnsi="Times New Roman" w:eastAsia="宋体"/>
                <w:szCs w:val="21"/>
              </w:rPr>
            </w:pPr>
          </w:p>
        </w:tc>
        <w:tc>
          <w:tcPr>
            <w:tcW w:w="1230"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fldChar w:fldCharType="begin"/>
            </w:r>
            <w:r>
              <w:rPr>
                <w:rFonts w:ascii="Times New Roman" w:hAnsi="Times New Roman" w:eastAsia="宋体"/>
                <w:szCs w:val="21"/>
              </w:rPr>
              <w:instrText xml:space="preserve"> =SUM(ABOVE) </w:instrText>
            </w:r>
            <w:r>
              <w:rPr>
                <w:rFonts w:ascii="Times New Roman" w:hAnsi="Times New Roman" w:eastAsia="宋体"/>
                <w:szCs w:val="21"/>
              </w:rPr>
              <w:fldChar w:fldCharType="end"/>
            </w:r>
          </w:p>
        </w:tc>
        <w:tc>
          <w:tcPr>
            <w:tcW w:w="1005" w:type="dxa"/>
            <w:vAlign w:val="center"/>
          </w:tcPr>
          <w:p>
            <w:pPr>
              <w:spacing w:line="240" w:lineRule="auto"/>
              <w:jc w:val="center"/>
              <w:rPr>
                <w:rFonts w:ascii="Times New Roman" w:hAnsi="Times New Roman" w:eastAsia="宋体"/>
                <w:szCs w:val="21"/>
              </w:rPr>
            </w:pPr>
          </w:p>
        </w:tc>
        <w:tc>
          <w:tcPr>
            <w:tcW w:w="1988"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含所有材料费用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74"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4</w:t>
            </w:r>
          </w:p>
        </w:tc>
        <w:tc>
          <w:tcPr>
            <w:tcW w:w="2595"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灰库本体设计、调试</w:t>
            </w:r>
          </w:p>
        </w:tc>
        <w:tc>
          <w:tcPr>
            <w:tcW w:w="615" w:type="dxa"/>
            <w:vAlign w:val="center"/>
          </w:tcPr>
          <w:p>
            <w:pPr>
              <w:spacing w:line="240" w:lineRule="auto"/>
              <w:jc w:val="center"/>
              <w:rPr>
                <w:rFonts w:ascii="Times New Roman" w:hAnsi="Times New Roman" w:eastAsia="宋体"/>
                <w:szCs w:val="21"/>
              </w:rPr>
            </w:pPr>
          </w:p>
        </w:tc>
        <w:tc>
          <w:tcPr>
            <w:tcW w:w="1380" w:type="dxa"/>
            <w:vAlign w:val="center"/>
          </w:tcPr>
          <w:p>
            <w:pPr>
              <w:spacing w:line="240" w:lineRule="auto"/>
              <w:jc w:val="center"/>
              <w:rPr>
                <w:rFonts w:ascii="Times New Roman" w:hAnsi="Times New Roman" w:eastAsia="宋体"/>
                <w:szCs w:val="21"/>
              </w:rPr>
            </w:pPr>
          </w:p>
        </w:tc>
        <w:tc>
          <w:tcPr>
            <w:tcW w:w="1230" w:type="dxa"/>
            <w:vAlign w:val="center"/>
          </w:tcPr>
          <w:p>
            <w:pPr>
              <w:spacing w:line="240" w:lineRule="auto"/>
              <w:jc w:val="center"/>
              <w:rPr>
                <w:rFonts w:ascii="Times New Roman" w:hAnsi="Times New Roman" w:eastAsia="宋体"/>
                <w:szCs w:val="21"/>
              </w:rPr>
            </w:pPr>
          </w:p>
        </w:tc>
        <w:tc>
          <w:tcPr>
            <w:tcW w:w="1005" w:type="dxa"/>
            <w:vAlign w:val="center"/>
          </w:tcPr>
          <w:p>
            <w:pPr>
              <w:spacing w:line="240" w:lineRule="auto"/>
              <w:jc w:val="center"/>
              <w:rPr>
                <w:rFonts w:ascii="Times New Roman" w:hAnsi="Times New Roman" w:eastAsia="宋体"/>
                <w:szCs w:val="21"/>
              </w:rPr>
            </w:pPr>
          </w:p>
        </w:tc>
        <w:tc>
          <w:tcPr>
            <w:tcW w:w="1988" w:type="dxa"/>
            <w:vAlign w:val="center"/>
          </w:tcPr>
          <w:p>
            <w:pPr>
              <w:spacing w:line="240" w:lineRule="auto"/>
              <w:jc w:val="center"/>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74"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5</w:t>
            </w:r>
          </w:p>
        </w:tc>
        <w:tc>
          <w:tcPr>
            <w:tcW w:w="2595"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运输、包装</w:t>
            </w:r>
          </w:p>
        </w:tc>
        <w:tc>
          <w:tcPr>
            <w:tcW w:w="615" w:type="dxa"/>
            <w:vAlign w:val="center"/>
          </w:tcPr>
          <w:p>
            <w:pPr>
              <w:spacing w:line="240" w:lineRule="auto"/>
              <w:jc w:val="center"/>
              <w:rPr>
                <w:rFonts w:ascii="Times New Roman" w:hAnsi="Times New Roman" w:eastAsia="宋体"/>
                <w:szCs w:val="21"/>
              </w:rPr>
            </w:pPr>
          </w:p>
        </w:tc>
        <w:tc>
          <w:tcPr>
            <w:tcW w:w="1380" w:type="dxa"/>
            <w:vAlign w:val="center"/>
          </w:tcPr>
          <w:p>
            <w:pPr>
              <w:spacing w:line="240" w:lineRule="auto"/>
              <w:jc w:val="center"/>
              <w:rPr>
                <w:rFonts w:ascii="Times New Roman" w:hAnsi="Times New Roman" w:eastAsia="宋体"/>
                <w:szCs w:val="21"/>
              </w:rPr>
            </w:pPr>
          </w:p>
        </w:tc>
        <w:tc>
          <w:tcPr>
            <w:tcW w:w="1230" w:type="dxa"/>
            <w:vAlign w:val="center"/>
          </w:tcPr>
          <w:p>
            <w:pPr>
              <w:spacing w:line="240" w:lineRule="auto"/>
              <w:jc w:val="center"/>
              <w:rPr>
                <w:rFonts w:ascii="Times New Roman" w:hAnsi="Times New Roman" w:eastAsia="宋体"/>
                <w:szCs w:val="21"/>
              </w:rPr>
            </w:pPr>
          </w:p>
        </w:tc>
        <w:tc>
          <w:tcPr>
            <w:tcW w:w="1005" w:type="dxa"/>
            <w:vAlign w:val="center"/>
          </w:tcPr>
          <w:p>
            <w:pPr>
              <w:spacing w:line="240" w:lineRule="auto"/>
              <w:jc w:val="center"/>
              <w:rPr>
                <w:rFonts w:ascii="Times New Roman" w:hAnsi="Times New Roman" w:eastAsia="宋体"/>
                <w:szCs w:val="21"/>
              </w:rPr>
            </w:pPr>
          </w:p>
        </w:tc>
        <w:tc>
          <w:tcPr>
            <w:tcW w:w="1988" w:type="dxa"/>
            <w:vAlign w:val="center"/>
          </w:tcPr>
          <w:p>
            <w:pPr>
              <w:spacing w:line="240" w:lineRule="auto"/>
              <w:jc w:val="center"/>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74"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6</w:t>
            </w:r>
          </w:p>
        </w:tc>
        <w:tc>
          <w:tcPr>
            <w:tcW w:w="2595"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安装费</w:t>
            </w:r>
          </w:p>
        </w:tc>
        <w:tc>
          <w:tcPr>
            <w:tcW w:w="615" w:type="dxa"/>
            <w:vAlign w:val="center"/>
          </w:tcPr>
          <w:p>
            <w:pPr>
              <w:spacing w:line="240" w:lineRule="auto"/>
              <w:jc w:val="center"/>
              <w:rPr>
                <w:rFonts w:ascii="Times New Roman" w:hAnsi="Times New Roman" w:eastAsia="宋体"/>
                <w:szCs w:val="21"/>
              </w:rPr>
            </w:pPr>
          </w:p>
        </w:tc>
        <w:tc>
          <w:tcPr>
            <w:tcW w:w="1380" w:type="dxa"/>
            <w:vAlign w:val="center"/>
          </w:tcPr>
          <w:p>
            <w:pPr>
              <w:spacing w:line="240" w:lineRule="auto"/>
              <w:jc w:val="center"/>
              <w:rPr>
                <w:rFonts w:ascii="Times New Roman" w:hAnsi="Times New Roman" w:eastAsia="宋体"/>
                <w:szCs w:val="21"/>
              </w:rPr>
            </w:pPr>
          </w:p>
        </w:tc>
        <w:tc>
          <w:tcPr>
            <w:tcW w:w="1230" w:type="dxa"/>
            <w:vAlign w:val="center"/>
          </w:tcPr>
          <w:p>
            <w:pPr>
              <w:spacing w:line="240" w:lineRule="auto"/>
              <w:jc w:val="center"/>
              <w:rPr>
                <w:rFonts w:ascii="Times New Roman" w:hAnsi="Times New Roman" w:eastAsia="宋体"/>
                <w:szCs w:val="21"/>
              </w:rPr>
            </w:pPr>
          </w:p>
        </w:tc>
        <w:tc>
          <w:tcPr>
            <w:tcW w:w="1005" w:type="dxa"/>
            <w:vAlign w:val="center"/>
          </w:tcPr>
          <w:p>
            <w:pPr>
              <w:spacing w:line="240" w:lineRule="auto"/>
              <w:jc w:val="center"/>
              <w:rPr>
                <w:rFonts w:ascii="Times New Roman" w:hAnsi="Times New Roman" w:eastAsia="宋体"/>
                <w:szCs w:val="21"/>
              </w:rPr>
            </w:pPr>
          </w:p>
        </w:tc>
        <w:tc>
          <w:tcPr>
            <w:tcW w:w="1988" w:type="dxa"/>
            <w:vAlign w:val="center"/>
          </w:tcPr>
          <w:p>
            <w:pPr>
              <w:spacing w:line="240" w:lineRule="auto"/>
              <w:jc w:val="center"/>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74" w:type="dxa"/>
            <w:vAlign w:val="center"/>
          </w:tcPr>
          <w:p>
            <w:pPr>
              <w:spacing w:line="240" w:lineRule="auto"/>
              <w:jc w:val="center"/>
              <w:rPr>
                <w:rFonts w:ascii="Times New Roman" w:hAnsi="Times New Roman" w:eastAsia="宋体"/>
                <w:szCs w:val="21"/>
              </w:rPr>
            </w:pPr>
          </w:p>
        </w:tc>
        <w:tc>
          <w:tcPr>
            <w:tcW w:w="2595" w:type="dxa"/>
            <w:vAlign w:val="center"/>
          </w:tcPr>
          <w:p>
            <w:pPr>
              <w:spacing w:line="240" w:lineRule="auto"/>
              <w:jc w:val="center"/>
              <w:rPr>
                <w:rFonts w:ascii="Times New Roman" w:hAnsi="Times New Roman" w:eastAsia="宋体"/>
                <w:szCs w:val="21"/>
              </w:rPr>
            </w:pPr>
            <w:r>
              <w:rPr>
                <w:rFonts w:ascii="Times New Roman" w:hAnsi="Times New Roman" w:eastAsia="宋体"/>
                <w:szCs w:val="21"/>
              </w:rPr>
              <w:t>总计</w:t>
            </w:r>
          </w:p>
        </w:tc>
        <w:tc>
          <w:tcPr>
            <w:tcW w:w="615" w:type="dxa"/>
            <w:vAlign w:val="center"/>
          </w:tcPr>
          <w:p>
            <w:pPr>
              <w:spacing w:line="240" w:lineRule="auto"/>
              <w:jc w:val="center"/>
              <w:rPr>
                <w:rFonts w:ascii="Times New Roman" w:hAnsi="Times New Roman" w:eastAsia="宋体"/>
                <w:szCs w:val="21"/>
              </w:rPr>
            </w:pPr>
          </w:p>
        </w:tc>
        <w:tc>
          <w:tcPr>
            <w:tcW w:w="1380" w:type="dxa"/>
            <w:vAlign w:val="center"/>
          </w:tcPr>
          <w:p>
            <w:pPr>
              <w:spacing w:line="240" w:lineRule="auto"/>
              <w:jc w:val="center"/>
              <w:rPr>
                <w:rFonts w:ascii="Times New Roman" w:hAnsi="Times New Roman" w:eastAsia="宋体"/>
                <w:szCs w:val="21"/>
              </w:rPr>
            </w:pPr>
          </w:p>
        </w:tc>
        <w:tc>
          <w:tcPr>
            <w:tcW w:w="1230" w:type="dxa"/>
            <w:vAlign w:val="center"/>
          </w:tcPr>
          <w:p>
            <w:pPr>
              <w:spacing w:line="240" w:lineRule="auto"/>
              <w:jc w:val="center"/>
              <w:rPr>
                <w:rFonts w:ascii="Times New Roman" w:hAnsi="Times New Roman" w:eastAsia="宋体"/>
                <w:szCs w:val="21"/>
              </w:rPr>
            </w:pPr>
          </w:p>
        </w:tc>
        <w:tc>
          <w:tcPr>
            <w:tcW w:w="1005" w:type="dxa"/>
            <w:vAlign w:val="center"/>
          </w:tcPr>
          <w:p>
            <w:pPr>
              <w:spacing w:line="240" w:lineRule="auto"/>
              <w:jc w:val="center"/>
              <w:rPr>
                <w:rFonts w:ascii="Times New Roman" w:hAnsi="Times New Roman" w:eastAsia="宋体"/>
                <w:szCs w:val="21"/>
              </w:rPr>
            </w:pPr>
          </w:p>
        </w:tc>
        <w:tc>
          <w:tcPr>
            <w:tcW w:w="1988" w:type="dxa"/>
            <w:vAlign w:val="center"/>
          </w:tcPr>
          <w:p>
            <w:pPr>
              <w:spacing w:line="240" w:lineRule="auto"/>
              <w:jc w:val="center"/>
              <w:rPr>
                <w:rFonts w:ascii="Times New Roman" w:hAnsi="Times New Roman" w:eastAsia="宋体"/>
                <w:szCs w:val="21"/>
              </w:rPr>
            </w:pPr>
          </w:p>
        </w:tc>
      </w:tr>
    </w:tbl>
    <w:p>
      <w:pPr>
        <w:spacing w:line="420" w:lineRule="exact"/>
        <w:rPr>
          <w:rFonts w:hint="eastAsia" w:ascii="Times New Roman" w:hAnsi="Times New Roman" w:eastAsia="宋体" w:cs="Times New Roman"/>
          <w:bCs/>
          <w:sz w:val="24"/>
          <w:szCs w:val="24"/>
          <w:lang w:val="en-US" w:eastAsia="zh-CN"/>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投标人代表：</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（法定代表人或被授权人签字）</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w:t>
      </w:r>
      <w:r>
        <w:rPr>
          <w:rFonts w:hint="eastAsia" w:ascii="Times New Roman" w:hAnsi="Times New Roman" w:eastAsia="宋体"/>
          <w:sz w:val="24"/>
          <w:szCs w:val="24"/>
          <w:lang w:eastAsia="zh-CN"/>
        </w:rPr>
        <w:t>加盖单位公章</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ind w:firstLine="3840" w:firstLineChars="1600"/>
        <w:jc w:val="left"/>
        <w:textAlignment w:val="auto"/>
        <w:rPr>
          <w:rFonts w:hint="eastAsia" w:ascii="Times New Roman" w:hAnsi="Times New Roman" w:eastAsia="宋体" w:cs="Times New Roman"/>
          <w:bCs/>
          <w:sz w:val="24"/>
          <w:szCs w:val="24"/>
        </w:rPr>
      </w:pPr>
      <w:r>
        <w:rPr>
          <w:rFonts w:hint="eastAsia" w:ascii="Times New Roman" w:hAnsi="Times New Roman" w:eastAsia="宋体"/>
          <w:sz w:val="24"/>
          <w:szCs w:val="24"/>
        </w:rPr>
        <w:t>时间：</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年</w:t>
      </w:r>
      <w:r>
        <w:rPr>
          <w:rFonts w:ascii="Times New Roman" w:hAnsi="Times New Roman" w:eastAsia="宋体"/>
          <w:sz w:val="24"/>
          <w:szCs w:val="24"/>
          <w:u w:val="single"/>
        </w:rPr>
        <w:t xml:space="preserve">    </w:t>
      </w:r>
      <w:r>
        <w:rPr>
          <w:rFonts w:ascii="Times New Roman" w:hAnsi="Times New Roman" w:eastAsia="宋体"/>
          <w:sz w:val="24"/>
          <w:szCs w:val="24"/>
        </w:rPr>
        <w:t>月</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日</w:t>
      </w:r>
    </w:p>
    <w:p>
      <w:pPr>
        <w:spacing w:line="420" w:lineRule="exact"/>
        <w:rPr>
          <w:rFonts w:hint="eastAsia" w:ascii="Times New Roman" w:hAnsi="Times New Roman" w:eastAsia="宋体" w:cs="Times New Roman"/>
          <w:bCs/>
          <w:sz w:val="24"/>
          <w:szCs w:val="24"/>
        </w:rPr>
      </w:pPr>
      <w:r>
        <w:rPr>
          <w:rFonts w:hint="eastAsia" w:ascii="Times New Roman" w:hAnsi="Times New Roman" w:eastAsia="宋体" w:cs="Times New Roman"/>
          <w:bCs/>
          <w:sz w:val="24"/>
          <w:szCs w:val="24"/>
        </w:rPr>
        <w:br w:type="page"/>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2</w:t>
      </w:r>
      <w:r>
        <w:rPr>
          <w:rFonts w:hint="eastAsia" w:ascii="Times New Roman" w:hAnsi="Times New Roman" w:eastAsia="宋体" w:cs="Times New Roman"/>
          <w:bCs/>
          <w:sz w:val="24"/>
          <w:szCs w:val="24"/>
        </w:rPr>
        <w:t>：法定代表人授权书（格式）</w:t>
      </w:r>
    </w:p>
    <w:p>
      <w:pPr>
        <w:spacing w:line="420" w:lineRule="exact"/>
        <w:rPr>
          <w:rFonts w:ascii="Times New Roman" w:hAnsi="Times New Roman" w:eastAsia="宋体" w:cs="Times New Roman"/>
          <w:bCs/>
          <w:sz w:val="24"/>
          <w:szCs w:val="24"/>
        </w:rPr>
      </w:pPr>
    </w:p>
    <w:p>
      <w:pPr>
        <w:spacing w:afterLines="50" w:line="420" w:lineRule="exact"/>
        <w:jc w:val="center"/>
        <w:rPr>
          <w:rFonts w:ascii="Times New Roman" w:hAnsi="Times New Roman" w:eastAsia="宋体" w:cs="Times New Roman"/>
          <w:b/>
          <w:bCs/>
          <w:sz w:val="28"/>
          <w:szCs w:val="28"/>
        </w:rPr>
      </w:pPr>
      <w:r>
        <w:rPr>
          <w:rFonts w:hint="eastAsia" w:ascii="Times New Roman" w:hAnsi="Times New Roman" w:eastAsia="宋体" w:cs="Times New Roman"/>
          <w:b/>
          <w:bCs/>
          <w:spacing w:val="20"/>
          <w:sz w:val="28"/>
          <w:szCs w:val="28"/>
        </w:rPr>
        <w:t>法定代表人授权书</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（招标人名称）　　　　</w:t>
      </w:r>
      <w:r>
        <w:rPr>
          <w:rFonts w:hint="eastAsia" w:ascii="Times New Roman" w:hAnsi="Times New Roman" w:eastAsia="宋体" w:cs="Times New Roman"/>
          <w:bCs/>
          <w:sz w:val="24"/>
          <w:szCs w:val="24"/>
        </w:rPr>
        <w:t>：</w:t>
      </w:r>
    </w:p>
    <w:p>
      <w:pPr>
        <w:spacing w:line="420" w:lineRule="exact"/>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（投标人全称）　　</w:t>
      </w:r>
      <w:r>
        <w:rPr>
          <w:rFonts w:hint="eastAsia" w:ascii="Times New Roman" w:hAnsi="Times New Roman" w:eastAsia="宋体" w:cs="Times New Roman"/>
          <w:bCs/>
          <w:sz w:val="24"/>
          <w:szCs w:val="24"/>
        </w:rPr>
        <w:t>法定代表人</w:t>
      </w:r>
      <w:r>
        <w:rPr>
          <w:rFonts w:hint="eastAsia" w:ascii="Times New Roman" w:hAnsi="Times New Roman" w:eastAsia="宋体" w:cs="Times New Roman"/>
          <w:bCs/>
          <w:sz w:val="24"/>
          <w:szCs w:val="24"/>
          <w:u w:val="single"/>
        </w:rPr>
        <w:t>　（姓名）　</w:t>
      </w:r>
      <w:r>
        <w:rPr>
          <w:rFonts w:hint="eastAsia" w:ascii="Times New Roman" w:hAnsi="Times New Roman" w:eastAsia="宋体" w:cs="Times New Roman"/>
          <w:bCs/>
          <w:sz w:val="24"/>
          <w:szCs w:val="24"/>
        </w:rPr>
        <w:t>授权</w:t>
      </w:r>
      <w:r>
        <w:rPr>
          <w:rFonts w:hint="eastAsia" w:ascii="Times New Roman" w:hAnsi="Times New Roman" w:eastAsia="宋体" w:cs="Times New Roman"/>
          <w:bCs/>
          <w:sz w:val="24"/>
          <w:szCs w:val="24"/>
          <w:u w:val="single"/>
        </w:rPr>
        <w:t>　（投标人代表姓名）　</w:t>
      </w:r>
      <w:r>
        <w:rPr>
          <w:rFonts w:hint="eastAsia" w:ascii="Times New Roman" w:hAnsi="Times New Roman" w:eastAsia="宋体" w:cs="Times New Roman"/>
          <w:bCs/>
          <w:sz w:val="24"/>
          <w:szCs w:val="24"/>
        </w:rPr>
        <w:t>为投标人代表，代表本公司参加贵处组织的</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项目（招标编号</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）投标活动，全权代表我方处理投标过程的一切事宜。投标人代表在投标过程中所签署的一切文件和处理与之有关的一切事务，我均予以承认。投标人代表无转委权。特此授权。</w:t>
      </w:r>
    </w:p>
    <w:p>
      <w:pPr>
        <w:spacing w:line="420" w:lineRule="exact"/>
        <w:rPr>
          <w:rFonts w:ascii="Times New Roman" w:hAnsi="Times New Roman" w:eastAsia="宋体" w:cs="Times New Roman"/>
          <w:bCs/>
          <w:sz w:val="24"/>
          <w:szCs w:val="24"/>
        </w:rPr>
      </w:pP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性别：</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身份证号：</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单位：</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部门：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职务：</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详细通讯地址：</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邮政编码：</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电话：</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投标人名称：</w:t>
      </w:r>
      <w:r>
        <w:rPr>
          <w:rFonts w:hint="eastAsia" w:ascii="Times New Roman" w:hAnsi="Times New Roman" w:eastAsia="宋体" w:cs="Times New Roman"/>
          <w:bCs/>
          <w:sz w:val="24"/>
          <w:szCs w:val="24"/>
          <w:u w:val="single"/>
        </w:rPr>
        <w:t>　　（全称并加盖公章）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法定代表人签字或盖章：</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u w:val="single"/>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20" w:lineRule="exact"/>
        <w:ind w:firstLine="4337" w:firstLineChars="1800"/>
        <w:textAlignment w:val="auto"/>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接受授权方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投标人代表签字：</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3SB010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906714"/>
    <w:multiLevelType w:val="singleLevel"/>
    <w:tmpl w:val="EF906714"/>
    <w:lvl w:ilvl="0" w:tentative="0">
      <w:start w:val="1"/>
      <w:numFmt w:val="decimal"/>
      <w:suff w:val="nothing"/>
      <w:lvlText w:val="%1"/>
      <w:lvlJc w:val="center"/>
      <w:pPr>
        <w:tabs>
          <w:tab w:val="left" w:pos="0"/>
        </w:tabs>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A33A8B"/>
    <w:rsid w:val="17E62151"/>
    <w:rsid w:val="19CF43E9"/>
    <w:rsid w:val="19D304ED"/>
    <w:rsid w:val="19E210DC"/>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E4F2D"/>
    <w:rsid w:val="394D2CDE"/>
    <w:rsid w:val="39E9615C"/>
    <w:rsid w:val="3BC53092"/>
    <w:rsid w:val="3C5513A3"/>
    <w:rsid w:val="3C584342"/>
    <w:rsid w:val="3C7C5725"/>
    <w:rsid w:val="3D5E55B3"/>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74E15B7"/>
    <w:rsid w:val="5D23354B"/>
    <w:rsid w:val="5D785372"/>
    <w:rsid w:val="5DAE499A"/>
    <w:rsid w:val="5F194A83"/>
    <w:rsid w:val="5F6F0FB4"/>
    <w:rsid w:val="610928EA"/>
    <w:rsid w:val="62A84C8F"/>
    <w:rsid w:val="63A30CC0"/>
    <w:rsid w:val="64DB1FB5"/>
    <w:rsid w:val="655834F7"/>
    <w:rsid w:val="661C08AC"/>
    <w:rsid w:val="67157C63"/>
    <w:rsid w:val="674E2FFC"/>
    <w:rsid w:val="686E57F2"/>
    <w:rsid w:val="68E3273E"/>
    <w:rsid w:val="69CB5362"/>
    <w:rsid w:val="6AF32396"/>
    <w:rsid w:val="6B0726BC"/>
    <w:rsid w:val="6B773290"/>
    <w:rsid w:val="6D0F5985"/>
    <w:rsid w:val="701A7798"/>
    <w:rsid w:val="71E749FC"/>
    <w:rsid w:val="71F55825"/>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2023-01-11T03:00:49Z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