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：粗硫酸盐松节油</w:t>
      </w:r>
      <w:r>
        <w:rPr>
          <w:rFonts w:hint="eastAsia" w:ascii="Times New Roman" w:hAnsi="Times New Roman" w:eastAsia="宋体"/>
          <w:sz w:val="24"/>
          <w:szCs w:val="24"/>
          <w:lang w:eastAsia="zh-CN"/>
        </w:rPr>
        <w:t>出售</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hint="eastAsia" w:ascii="Times New Roman" w:hAnsi="Times New Roman" w:eastAsia="宋体"/>
          <w:b/>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项目内容及要求</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b w:val="0"/>
          <w:bCs/>
          <w:sz w:val="24"/>
          <w:szCs w:val="24"/>
          <w:lang w:val="en-US" w:eastAsia="zh-CN"/>
        </w:rPr>
        <w:t>2.1标的数量</w:t>
      </w:r>
      <w:r>
        <w:rPr>
          <w:rFonts w:hint="eastAsia" w:ascii="Times New Roman" w:hAnsi="Times New Roman" w:eastAsia="宋体"/>
          <w:sz w:val="24"/>
          <w:szCs w:val="24"/>
        </w:rPr>
        <w:t>：视招标人生产情况及出售要求，以招标人实际生产情况为准。</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2.2合同履行期限：中标人本次合同期限为三个月。</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2.3项目要求：</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2.3.1要求中标人运输标的的车辆必须具有危险化学品运输许可证及配备安全防护设备、消防器材（签合同前必须提交这部份资质资料），并严格遵守《危险化学品安全管理条例》及国家相关规定。</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2.3.2中标人车辆及人员进入招标人工作区域应遵守招标人安全规章制度，因中标人原因造成的安全责任由中标人承担。</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2.3.3违约责任：招标方根据生产情况及需要通知中标人组织车辆及时运输标的，中标人每次接到通知后必须在24小时内将标的及时运走，否则招标方有权让其他方运走，以保证招标方生产单位的正常生产，由此造成的一切损失由中标人承担，并且不予退还中标人合同履约金。具体发货数量及时间以招标方通知为准。</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3.投标人资格要求</w:t>
      </w:r>
      <w:r>
        <w:rPr>
          <w:rFonts w:hint="eastAsia" w:ascii="Times New Roman" w:hAnsi="Times New Roman" w:eastAsia="宋体"/>
          <w:sz w:val="24"/>
          <w:szCs w:val="24"/>
        </w:rPr>
        <w:t>：必须提供三证合一的营业执照；招标内容在其营业执照的经营范围内；必须提供危险废物处理资质材料；投标人应具有足够的履约能力及信用良好的单位。</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.付款</w:t>
      </w:r>
      <w:r>
        <w:rPr>
          <w:rFonts w:hint="eastAsia" w:ascii="Times New Roman" w:hAnsi="Times New Roman" w:eastAsia="宋体"/>
          <w:b/>
          <w:sz w:val="24"/>
          <w:szCs w:val="24"/>
          <w:lang w:eastAsia="zh-CN"/>
        </w:rPr>
        <w:t>及结算</w:t>
      </w:r>
      <w:r>
        <w:rPr>
          <w:rFonts w:hint="eastAsia" w:ascii="Times New Roman" w:hAnsi="Times New Roman" w:eastAsia="宋体"/>
          <w:b/>
          <w:sz w:val="24"/>
          <w:szCs w:val="24"/>
        </w:rPr>
        <w:t>方式</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.1装运前，中标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根据招标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的要求支付100%预付款，以银行电汇方式缴齐货款后，方可发货。</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.2招标人提供含</w:t>
      </w: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%增值税发票。</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.1投标人以</w:t>
      </w:r>
      <w:r>
        <w:rPr>
          <w:rFonts w:hint="eastAsia" w:ascii="Times New Roman" w:hAnsi="Times New Roman" w:eastAsia="宋体"/>
          <w:sz w:val="24"/>
          <w:szCs w:val="24"/>
          <w:u w:val="single"/>
        </w:rPr>
        <w:t xml:space="preserve">    </w:t>
      </w:r>
      <w:r>
        <w:rPr>
          <w:rFonts w:hint="eastAsia" w:ascii="Times New Roman" w:hAnsi="Times New Roman" w:eastAsia="宋体"/>
          <w:sz w:val="24"/>
          <w:szCs w:val="24"/>
        </w:rPr>
        <w:t>元</w:t>
      </w:r>
      <w:r>
        <w:rPr>
          <w:rFonts w:ascii="Times New Roman" w:hAnsi="Times New Roman" w:eastAsia="宋体"/>
          <w:sz w:val="24"/>
          <w:szCs w:val="24"/>
        </w:rPr>
        <w:t>/吨进行报价</w:t>
      </w:r>
      <w:r>
        <w:rPr>
          <w:rFonts w:hint="eastAsia" w:ascii="Times New Roman" w:hAnsi="Times New Roman" w:eastAsia="宋体"/>
          <w:sz w:val="24"/>
          <w:szCs w:val="24"/>
        </w:rPr>
        <w:t>，报价含13%增值税。</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5.2本项目设置最低限价3400元/吨（出厂含税价）。</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5</w:t>
      </w:r>
      <w:r>
        <w:rPr>
          <w:rFonts w:ascii="Times New Roman" w:hAnsi="Times New Roman" w:eastAsia="宋体"/>
          <w:sz w:val="24"/>
          <w:szCs w:val="24"/>
        </w:rPr>
        <w:t>.</w:t>
      </w:r>
      <w:r>
        <w:rPr>
          <w:rFonts w:hint="eastAsia" w:ascii="Times New Roman" w:hAnsi="Times New Roman" w:eastAsia="宋体"/>
          <w:sz w:val="24"/>
          <w:szCs w:val="24"/>
          <w:lang w:val="en-US" w:eastAsia="zh-CN"/>
        </w:rPr>
        <w:t>3本次招标原则上采取一次性报价方式。如出现报价最高者相同达两人或以上，则在其相同报价人之间再次报价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.评标办法</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ascii="Times New Roman" w:hAnsi="Times New Roman" w:eastAsia="宋体"/>
          <w:sz w:val="24"/>
          <w:szCs w:val="24"/>
        </w:rPr>
        <w:t>.1本项目采用经评审最</w:t>
      </w:r>
      <w:r>
        <w:rPr>
          <w:rFonts w:hint="eastAsia" w:ascii="Times New Roman" w:hAnsi="Times New Roman" w:eastAsia="宋体"/>
          <w:sz w:val="24"/>
          <w:szCs w:val="24"/>
        </w:rPr>
        <w:t>高</w:t>
      </w:r>
      <w:r>
        <w:rPr>
          <w:rFonts w:ascii="Times New Roman" w:hAnsi="Times New Roman" w:eastAsia="宋体"/>
          <w:sz w:val="24"/>
          <w:szCs w:val="24"/>
        </w:rPr>
        <w:t>投标价中标的办法评标。经评审的最</w:t>
      </w:r>
      <w:r>
        <w:rPr>
          <w:rFonts w:hint="eastAsia" w:ascii="Times New Roman" w:hAnsi="Times New Roman" w:eastAsia="宋体"/>
          <w:sz w:val="24"/>
          <w:szCs w:val="24"/>
        </w:rPr>
        <w:t>高</w:t>
      </w:r>
      <w:r>
        <w:rPr>
          <w:rFonts w:ascii="Times New Roman" w:hAnsi="Times New Roman" w:eastAsia="宋体"/>
          <w:sz w:val="24"/>
          <w:szCs w:val="24"/>
        </w:rPr>
        <w:t>投标</w:t>
      </w:r>
      <w:r>
        <w:rPr>
          <w:rFonts w:hint="eastAsia" w:ascii="Times New Roman" w:hAnsi="Times New Roman" w:eastAsia="宋体"/>
          <w:sz w:val="24"/>
          <w:szCs w:val="24"/>
        </w:rPr>
        <w:t>价格</w:t>
      </w:r>
      <w:r>
        <w:rPr>
          <w:rFonts w:ascii="Times New Roman" w:hAnsi="Times New Roman" w:eastAsia="宋体"/>
          <w:sz w:val="24"/>
          <w:szCs w:val="24"/>
        </w:rPr>
        <w:t>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w:t>
      </w:r>
      <w:r>
        <w:rPr>
          <w:rFonts w:hint="eastAsia" w:ascii="Times New Roman" w:hAnsi="Times New Roman" w:eastAsia="宋体"/>
          <w:sz w:val="24"/>
          <w:szCs w:val="24"/>
          <w:lang w:eastAsia="zh-CN"/>
        </w:rPr>
        <w:t>投标人报价低于最低限价的，将否决其投标</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sz w:val="24"/>
          <w:szCs w:val="24"/>
          <w:lang w:val="en-US" w:eastAsia="zh-CN"/>
        </w:rPr>
        <w:t>3</w:t>
      </w:r>
      <w:r>
        <w:rPr>
          <w:rFonts w:ascii="Times New Roman" w:hAnsi="Times New Roman" w:eastAsia="宋体"/>
          <w:sz w:val="24"/>
          <w:szCs w:val="24"/>
        </w:rPr>
        <w:t>年</w:t>
      </w:r>
      <w:r>
        <w:rPr>
          <w:rFonts w:hint="eastAsia" w:ascii="Times New Roman" w:hAnsi="Times New Roman"/>
          <w:sz w:val="24"/>
          <w:szCs w:val="24"/>
          <w:lang w:val="en-US" w:eastAsia="zh-CN"/>
        </w:rPr>
        <w:t>2</w:t>
      </w:r>
      <w:r>
        <w:rPr>
          <w:rFonts w:ascii="Times New Roman" w:hAnsi="Times New Roman" w:eastAsia="宋体"/>
          <w:sz w:val="24"/>
          <w:szCs w:val="24"/>
        </w:rPr>
        <w:t>月</w:t>
      </w:r>
      <w:r>
        <w:rPr>
          <w:rFonts w:hint="eastAsia" w:ascii="Times New Roman" w:hAnsi="Times New Roman"/>
          <w:sz w:val="24"/>
          <w:szCs w:val="24"/>
          <w:lang w:val="en-US" w:eastAsia="zh-CN"/>
        </w:rPr>
        <w:t>21</w:t>
      </w:r>
      <w:r>
        <w:rPr>
          <w:rFonts w:ascii="Times New Roman" w:hAnsi="Times New Roman" w:eastAsia="宋体"/>
          <w:sz w:val="24"/>
          <w:szCs w:val="24"/>
        </w:rPr>
        <w:t>日</w:t>
      </w:r>
      <w:r>
        <w:rPr>
          <w:rFonts w:hint="eastAsia" w:ascii="Times New Roman" w:hAnsi="Times New Roman" w:eastAsia="宋体"/>
          <w:sz w:val="24"/>
          <w:szCs w:val="24"/>
          <w:lang w:val="en-US" w:eastAsia="zh-CN"/>
        </w:rPr>
        <w:t>14</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7</w:t>
      </w:r>
      <w:r>
        <w:rPr>
          <w:rFonts w:ascii="Times New Roman" w:hAnsi="Times New Roman" w:eastAsia="宋体"/>
          <w:sz w:val="24"/>
          <w:szCs w:val="24"/>
        </w:rPr>
        <w:t>.2参与方式：</w:t>
      </w:r>
      <w:r>
        <w:rPr>
          <w:rFonts w:hint="eastAsia" w:ascii="Times New Roman" w:hAnsi="Times New Roman" w:eastAsia="宋体"/>
          <w:sz w:val="24"/>
          <w:szCs w:val="24"/>
          <w:lang w:eastAsia="zh-CN"/>
        </w:rPr>
        <w:t>（以下三种参与方式投标人可任选一种）</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r>
        <w:rPr>
          <w:rFonts w:hint="eastAsia" w:ascii="Times New Roman" w:hAnsi="Times New Roman" w:eastAsia="宋体"/>
          <w:sz w:val="24"/>
          <w:szCs w:val="24"/>
        </w:rPr>
        <w:t>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7.2.3网络：在阿里平台1688采购门户网址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上参与投标的，应按招标文件的要求制作投标文件后扫描上传至1688采购平台，投标保证金凭证、资格文件、商务文件分别扫描上传。</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0</w:t>
      </w:r>
      <w:r>
        <w:rPr>
          <w:rFonts w:ascii="Times New Roman" w:hAnsi="Times New Roman" w:eastAsia="宋体"/>
          <w:sz w:val="24"/>
          <w:szCs w:val="24"/>
        </w:rPr>
        <w:t>00元。</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8</w:t>
      </w:r>
      <w:r>
        <w:rPr>
          <w:rFonts w:ascii="Times New Roman" w:hAnsi="Times New Roman" w:eastAsia="宋体"/>
          <w:sz w:val="24"/>
          <w:szCs w:val="24"/>
        </w:rPr>
        <w:t>.2</w:t>
      </w:r>
      <w:r>
        <w:rPr>
          <w:rFonts w:hint="eastAsia" w:ascii="Times New Roman" w:hAnsi="Times New Roman" w:eastAsia="宋体"/>
          <w:sz w:val="24"/>
          <w:szCs w:val="24"/>
        </w:rPr>
        <w:t>投标保证金任选如下一种形式提交：</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.2.1银行电汇；（开户银行：工商银行沙县青州支行、账户名：福建省青山纸业股份有限公司、账号：1404049409001000160。公对公转账，汇款人须注明参与的招标编号）。银行电汇回单单独密封装订。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2.2投标保证金函；若本公司与投标人尚有到期应付未结清货款（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.4未中标的投标人的投标保证金，以电汇形式的将在一星期内退还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.5中标的投标人的投标保证金，将在中标人签订合同时转为履约保证金</w:t>
      </w:r>
      <w:r>
        <w:rPr>
          <w:rFonts w:hint="eastAsia" w:ascii="Times New Roman" w:hAnsi="Times New Roman" w:eastAsia="宋体"/>
          <w:sz w:val="24"/>
          <w:szCs w:val="24"/>
          <w:lang w:eastAsia="zh-CN"/>
        </w:rPr>
        <w:t>。中标人在合同期内未发生合同履行违约行为，合同履约金全额无息退还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r>
        <w:rPr>
          <w:rFonts w:hint="eastAsia" w:ascii="Times New Roman" w:hAnsi="Times New Roman" w:eastAsia="宋体"/>
          <w:b/>
          <w:bCs/>
          <w:sz w:val="24"/>
          <w:szCs w:val="24"/>
        </w:rPr>
        <w:t>如有违约行为将视情况扣减或</w:t>
      </w:r>
      <w:r>
        <w:rPr>
          <w:rFonts w:hint="eastAsia" w:ascii="Times New Roman" w:hAnsi="Times New Roman" w:eastAsia="宋体"/>
          <w:b/>
          <w:bCs/>
          <w:sz w:val="24"/>
          <w:szCs w:val="24"/>
          <w:lang w:eastAsia="zh-CN"/>
        </w:rPr>
        <w:t>不予退还</w:t>
      </w:r>
      <w:r>
        <w:rPr>
          <w:rFonts w:hint="eastAsia" w:ascii="Times New Roman" w:hAnsi="Times New Roman" w:eastAsia="宋体"/>
          <w:b/>
          <w:bCs/>
          <w:sz w:val="24"/>
          <w:szCs w:val="24"/>
        </w:rPr>
        <w:t>履约金</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三</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lang w:val="en-US" w:eastAsia="zh-CN"/>
        </w:rPr>
        <w:t>b.第3条“投标人资格要求”的其他相应证明资料；c.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（授权书格式见附件1）</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w:t>
      </w:r>
      <w:r>
        <w:rPr>
          <w:rFonts w:ascii="Times New Roman" w:hAnsi="Times New Roman" w:eastAsia="宋体"/>
          <w:sz w:val="24"/>
          <w:szCs w:val="24"/>
        </w:rPr>
        <w:t>商务文件编制一式一份，</w:t>
      </w:r>
      <w:r>
        <w:rPr>
          <w:rFonts w:hint="eastAsia" w:ascii="Times New Roman" w:hAnsi="Times New Roman" w:eastAsia="宋体"/>
          <w:sz w:val="24"/>
          <w:szCs w:val="24"/>
        </w:rPr>
        <w:t>主要内容为投标</w:t>
      </w:r>
      <w:r>
        <w:rPr>
          <w:rFonts w:ascii="Times New Roman" w:hAnsi="Times New Roman" w:eastAsia="宋体"/>
          <w:sz w:val="24"/>
          <w:szCs w:val="24"/>
        </w:rPr>
        <w:t>报价</w:t>
      </w:r>
      <w:r>
        <w:rPr>
          <w:rFonts w:hint="eastAsia" w:ascii="Times New Roman" w:hAnsi="Times New Roman" w:eastAsia="宋体"/>
          <w:sz w:val="24"/>
          <w:szCs w:val="24"/>
          <w:lang w:eastAsia="zh-CN"/>
        </w:rPr>
        <w:t>表</w:t>
      </w:r>
      <w:r>
        <w:rPr>
          <w:rFonts w:hint="eastAsia" w:ascii="Times New Roman" w:hAnsi="Times New Roman" w:eastAsia="宋体"/>
          <w:sz w:val="24"/>
          <w:szCs w:val="24"/>
        </w:rPr>
        <w:t>（必须由法定代表人或被授权人签字或盖章）</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0</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Style w:val="10"/>
          <w:rFonts w:hint="eastAsia" w:ascii="Times New Roman" w:hAnsi="Times New Roman" w:eastAsia="宋体"/>
          <w:b w:val="0"/>
          <w:bCs w:val="0"/>
          <w:sz w:val="24"/>
          <w:szCs w:val="24"/>
          <w:lang w:eastAsia="zh-CN"/>
        </w:rPr>
        <w:fldChar w:fldCharType="begin"/>
      </w:r>
      <w:r>
        <w:rPr>
          <w:rStyle w:val="10"/>
          <w:rFonts w:hint="eastAsia" w:ascii="Times New Roman" w:hAnsi="Times New Roman" w:eastAsia="宋体"/>
          <w:b w:val="0"/>
          <w:bCs w:val="0"/>
          <w:sz w:val="24"/>
          <w:szCs w:val="24"/>
          <w:lang w:eastAsia="zh-CN"/>
        </w:rPr>
        <w:instrText xml:space="preserve"> HYPERLINK "http://www.qingshanpaper.com/" </w:instrText>
      </w:r>
      <w:r>
        <w:rPr>
          <w:rStyle w:val="10"/>
          <w:rFonts w:hint="eastAsia" w:ascii="Times New Roman" w:hAnsi="Times New Roman" w:eastAsia="宋体"/>
          <w:b w:val="0"/>
          <w:bCs w:val="0"/>
          <w:sz w:val="24"/>
          <w:szCs w:val="24"/>
          <w:lang w:eastAsia="zh-CN"/>
        </w:rPr>
        <w:fldChar w:fldCharType="separate"/>
      </w:r>
      <w:r>
        <w:rPr>
          <w:rStyle w:val="10"/>
          <w:rFonts w:hint="eastAsia" w:ascii="Times New Roman" w:hAnsi="Times New Roman" w:eastAsia="宋体"/>
          <w:b w:val="0"/>
          <w:bCs w:val="0"/>
          <w:sz w:val="24"/>
          <w:szCs w:val="24"/>
          <w:lang w:eastAsia="zh-CN"/>
        </w:rPr>
        <w:t>www.qingshanpaper.com</w:t>
      </w:r>
      <w:r>
        <w:rPr>
          <w:rStyle w:val="10"/>
          <w:rFonts w:hint="eastAsia" w:ascii="Times New Roman" w:hAnsi="Times New Roman" w:eastAsia="宋体"/>
          <w:b w:val="0"/>
          <w:bCs w:val="0"/>
          <w:sz w:val="24"/>
          <w:szCs w:val="24"/>
          <w:lang w:eastAsia="zh-CN"/>
        </w:rPr>
        <w:fldChar w:fldCharType="end"/>
      </w:r>
      <w:r>
        <w:rPr>
          <w:rStyle w:val="10"/>
          <w:rFonts w:hint="eastAsia" w:ascii="Times New Roman" w:hAnsi="Times New Roman" w:eastAsia="宋体"/>
          <w:b w:val="0"/>
          <w:bCs w:val="0"/>
          <w:sz w:val="24"/>
          <w:szCs w:val="24"/>
          <w:lang w:eastAsia="zh-CN"/>
        </w:rPr>
        <w:t>、</w:t>
      </w:r>
      <w:r>
        <w:rPr>
          <w:rFonts w:hint="eastAsia" w:ascii="Times New Roman" w:hAnsi="Times New Roman" w:eastAsia="宋体"/>
          <w:b w:val="0"/>
          <w:bCs w:val="0"/>
          <w:sz w:val="24"/>
          <w:szCs w:val="24"/>
          <w:lang w:eastAsia="zh-CN"/>
        </w:rPr>
        <w:t>福建省轻纺(控股)有限责任公司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36"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lang w:val="en-US" w:eastAsia="zh-CN"/>
        </w:rPr>
        <w:t>12.</w:t>
      </w:r>
      <w:r>
        <w:rPr>
          <w:rFonts w:hint="eastAsia" w:ascii="Times New Roman" w:hAnsi="Times New Roman" w:eastAsia="宋体"/>
          <w:b/>
          <w:bCs/>
          <w:sz w:val="24"/>
          <w:szCs w:val="24"/>
        </w:rPr>
        <w:t>联系方式</w:t>
      </w:r>
      <w:r>
        <w:rPr>
          <w:rFonts w:hint="eastAsia" w:ascii="Times New Roman" w:hAnsi="Times New Roman" w:eastAsia="宋体"/>
          <w:sz w:val="24"/>
          <w:szCs w:val="24"/>
        </w:rPr>
        <w:t>：</w:t>
      </w:r>
      <w:r>
        <w:rPr>
          <w:rFonts w:ascii="Times New Roman" w:hAnsi="Times New Roman" w:eastAsia="宋体"/>
          <w:sz w:val="24"/>
          <w:szCs w:val="24"/>
        </w:rPr>
        <w:t>0598-5658595（招标办</w:t>
      </w:r>
      <w:r>
        <w:rPr>
          <w:rFonts w:hint="eastAsia" w:ascii="Times New Roman" w:hAnsi="Times New Roman" w:eastAsia="宋体"/>
          <w:sz w:val="24"/>
          <w:szCs w:val="24"/>
          <w:lang w:val="en-US" w:eastAsia="zh-CN"/>
        </w:rPr>
        <w:t>-刘玲</w:t>
      </w:r>
      <w:r>
        <w:rPr>
          <w:rFonts w:ascii="Times New Roman" w:hAnsi="Times New Roman" w:eastAsia="宋体"/>
          <w:sz w:val="24"/>
          <w:szCs w:val="24"/>
        </w:rPr>
        <w:t>）</w:t>
      </w:r>
      <w:r>
        <w:rPr>
          <w:rFonts w:hint="eastAsia" w:ascii="Times New Roman" w:hAnsi="Times New Roman" w:eastAsia="宋体"/>
          <w:sz w:val="24"/>
          <w:szCs w:val="24"/>
        </w:rPr>
        <w:t xml:space="preserve"> </w:t>
      </w:r>
      <w:r>
        <w:rPr>
          <w:rFonts w:ascii="Times New Roman" w:hAnsi="Times New Roman" w:eastAsia="宋体"/>
          <w:sz w:val="24"/>
          <w:szCs w:val="24"/>
        </w:rPr>
        <w:t>0598-5658788（销售部）</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附件1：法定代表人授权书（格式）</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2：投标报价表</w:t>
      </w:r>
      <w:bookmarkStart w:id="0" w:name="_GoBack"/>
      <w:bookmarkEnd w:id="0"/>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highlight w:val="none"/>
          <w:lang w:val="en-US" w:eastAsia="zh-CN"/>
        </w:rPr>
        <w:t>附件3：松节油买卖合同（草本）【注：</w:t>
      </w:r>
      <w:r>
        <w:rPr>
          <w:rFonts w:hint="eastAsia" w:ascii="Times New Roman" w:hAnsi="Times New Roman" w:eastAsia="宋体"/>
          <w:sz w:val="24"/>
          <w:szCs w:val="24"/>
          <w:lang w:val="en-US" w:eastAsia="zh-CN"/>
        </w:rPr>
        <w:t>有意向参与投标的单位联系招标办获取</w:t>
      </w:r>
      <w:r>
        <w:rPr>
          <w:rFonts w:hint="eastAsia" w:ascii="Times New Roman" w:hAnsi="Times New Roman" w:eastAsia="宋体"/>
          <w:sz w:val="24"/>
          <w:szCs w:val="24"/>
          <w:highlight w:val="none"/>
          <w:lang w:val="en-US" w:eastAsia="zh-CN"/>
        </w:rPr>
        <w:t>】</w:t>
      </w:r>
    </w:p>
    <w:p>
      <w:pPr>
        <w:keepNext w:val="0"/>
        <w:keepLines w:val="0"/>
        <w:pageBreakBefore w:val="0"/>
        <w:widowControl w:val="0"/>
        <w:kinsoku/>
        <w:overflowPunct/>
        <w:topLinePunct w:val="0"/>
        <w:autoSpaceDE/>
        <w:autoSpaceDN/>
        <w:bidi w:val="0"/>
        <w:adjustRightInd/>
        <w:snapToGrid/>
        <w:spacing w:line="436" w:lineRule="exact"/>
        <w:ind w:firstLine="480" w:firstLineChars="200"/>
        <w:textAlignment w:val="auto"/>
        <w:outlineLvl w:val="9"/>
        <w:rPr>
          <w:rFonts w:hint="default" w:ascii="Times New Roman" w:hAnsi="Times New Roman"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36"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36"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36"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sz w:val="24"/>
          <w:szCs w:val="24"/>
          <w:lang w:val="en-US" w:eastAsia="zh-CN"/>
        </w:rPr>
        <w:t>3</w:t>
      </w:r>
      <w:r>
        <w:rPr>
          <w:rFonts w:ascii="Times New Roman" w:hAnsi="Times New Roman" w:eastAsia="宋体"/>
          <w:sz w:val="24"/>
          <w:szCs w:val="24"/>
        </w:rPr>
        <w:t>年</w:t>
      </w:r>
      <w:r>
        <w:rPr>
          <w:rFonts w:hint="eastAsia" w:ascii="Times New Roman" w:hAnsi="Times New Roman"/>
          <w:sz w:val="24"/>
          <w:szCs w:val="24"/>
          <w:lang w:val="en-US" w:eastAsia="zh-CN"/>
        </w:rPr>
        <w:t>2</w:t>
      </w:r>
      <w:r>
        <w:rPr>
          <w:rFonts w:ascii="Times New Roman" w:hAnsi="Times New Roman" w:eastAsia="宋体"/>
          <w:sz w:val="24"/>
          <w:szCs w:val="24"/>
        </w:rPr>
        <w:t>月</w:t>
      </w:r>
      <w:r>
        <w:rPr>
          <w:rFonts w:hint="eastAsia" w:ascii="Times New Roman" w:hAnsi="Times New Roman"/>
          <w:sz w:val="24"/>
          <w:szCs w:val="24"/>
          <w:lang w:val="en-US" w:eastAsia="zh-CN"/>
        </w:rPr>
        <w:t>14</w:t>
      </w:r>
      <w:r>
        <w:rPr>
          <w:rFonts w:ascii="Times New Roman" w:hAnsi="Times New Roman" w:eastAsia="宋体"/>
          <w:sz w:val="24"/>
          <w:szCs w:val="24"/>
        </w:rPr>
        <w:t>日</w:t>
      </w:r>
      <w:r>
        <w:rPr>
          <w:rFonts w:hint="eastAsia" w:ascii="Times New Roman" w:hAnsi="Times New Roman" w:eastAsia="宋体"/>
          <w:sz w:val="24"/>
          <w:szCs w:val="24"/>
          <w:lang w:val="en-US" w:eastAsia="zh-CN"/>
        </w:rPr>
        <w:t>　</w:t>
      </w:r>
      <w:r>
        <w:rPr>
          <w:rFonts w:hint="eastAsia" w:ascii="Times New Roman" w:hAnsi="Times New Roman" w:eastAsia="宋体"/>
          <w:sz w:val="24"/>
          <w:szCs w:val="24"/>
          <w:lang w:eastAsia="zh-CN"/>
        </w:rPr>
        <w:t>　　</w:t>
      </w:r>
    </w:p>
    <w:p>
      <w:pPr>
        <w:spacing w:line="360" w:lineRule="auto"/>
        <w:jc w:val="left"/>
        <w:rPr>
          <w:rFonts w:hint="eastAsia" w:ascii="Times New Roman" w:hAnsi="Times New Roman" w:eastAsia="宋体"/>
          <w:bCs/>
          <w:sz w:val="24"/>
          <w:szCs w:val="24"/>
        </w:rPr>
      </w:pPr>
    </w:p>
    <w:p>
      <w:pPr>
        <w:spacing w:line="360" w:lineRule="auto"/>
        <w:jc w:val="left"/>
        <w:rPr>
          <w:rFonts w:hint="eastAsia" w:ascii="Times New Roman" w:hAnsi="Times New Roman" w:eastAsia="宋体"/>
          <w:bCs/>
          <w:sz w:val="24"/>
          <w:szCs w:val="24"/>
        </w:rPr>
      </w:pPr>
      <w:r>
        <w:rPr>
          <w:rFonts w:hint="eastAsia" w:ascii="Times New Roman" w:hAnsi="Times New Roman" w:eastAsia="宋体"/>
          <w:bCs/>
          <w:sz w:val="24"/>
          <w:szCs w:val="24"/>
        </w:rPr>
        <w:br w:type="page"/>
      </w:r>
    </w:p>
    <w:p>
      <w:pPr>
        <w:spacing w:line="360" w:lineRule="auto"/>
        <w:jc w:val="left"/>
        <w:rPr>
          <w:rFonts w:ascii="Times New Roman" w:hAnsi="Times New Roman" w:eastAsia="宋体"/>
          <w:bCs/>
          <w:sz w:val="24"/>
          <w:szCs w:val="24"/>
        </w:rPr>
      </w:pPr>
      <w:r>
        <w:rPr>
          <w:rFonts w:hint="eastAsia" w:ascii="Times New Roman" w:hAnsi="Times New Roman" w:eastAsia="宋体"/>
          <w:bCs/>
          <w:sz w:val="24"/>
          <w:szCs w:val="24"/>
        </w:rPr>
        <w:t>附件</w:t>
      </w:r>
      <w:r>
        <w:rPr>
          <w:rFonts w:hint="eastAsia" w:ascii="Times New Roman" w:hAnsi="Times New Roman" w:eastAsia="宋体"/>
          <w:bCs/>
          <w:sz w:val="24"/>
          <w:szCs w:val="24"/>
          <w:lang w:val="en-US" w:eastAsia="zh-CN"/>
        </w:rPr>
        <w:t>1</w:t>
      </w:r>
      <w:r>
        <w:rPr>
          <w:rFonts w:hint="eastAsia" w:ascii="Times New Roman" w:hAnsi="Times New Roman" w:eastAsia="宋体"/>
          <w:bCs/>
          <w:sz w:val="24"/>
          <w:szCs w:val="24"/>
        </w:rPr>
        <w:t>：法定代表人授权书（格式）</w:t>
      </w:r>
    </w:p>
    <w:p>
      <w:pPr>
        <w:spacing w:line="360" w:lineRule="auto"/>
        <w:jc w:val="left"/>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Times New Roman" w:hAnsi="Times New Roman" w:eastAsia="宋体"/>
          <w:b/>
          <w:bCs/>
          <w:sz w:val="28"/>
          <w:szCs w:val="28"/>
        </w:rPr>
      </w:pPr>
      <w:r>
        <w:rPr>
          <w:rFonts w:hint="eastAsia" w:ascii="Times New Roman" w:hAnsi="Times New Roman" w:eastAsia="宋体"/>
          <w:b/>
          <w:bCs/>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（招标人名称）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（投标人全称）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法定代表人</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（姓名）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授权</w:t>
      </w:r>
      <w:r>
        <w:rPr>
          <w:rFonts w:hint="eastAsia" w:ascii="Times New Roman" w:hAnsi="Times New Roman" w:eastAsia="宋体"/>
          <w:bCs/>
          <w:sz w:val="24"/>
          <w:szCs w:val="24"/>
          <w:u w:val="single"/>
        </w:rPr>
        <w:t>（投标人代表姓名）</w:t>
      </w:r>
      <w:r>
        <w:rPr>
          <w:rFonts w:hint="eastAsia" w:ascii="Times New Roman" w:hAnsi="Times New Roman" w:eastAsia="宋体"/>
          <w:bCs/>
          <w:sz w:val="24"/>
          <w:szCs w:val="24"/>
        </w:rPr>
        <w:t>为投标人代表，代表本公司参加贵处组织的</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项目（招标编号</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性别：</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身份证号：</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单位：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部门：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职务：</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详细通讯地址：</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邮政编码：</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电话：</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（全称并加盖公章）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法定代表人签字或盖章：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投标人代表签字：</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u w:val="single"/>
          <w:lang w:eastAsia="zh-CN"/>
        </w:rPr>
        <w:br w:type="page"/>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r>
        <w:rPr>
          <w:rFonts w:hint="eastAsia" w:ascii="Times New Roman" w:hAnsi="Times New Roman" w:eastAsia="宋体"/>
          <w:bCs/>
          <w:sz w:val="24"/>
          <w:szCs w:val="24"/>
          <w:u w:val="none"/>
          <w:lang w:eastAsia="zh-CN"/>
        </w:rPr>
        <w:t>附件</w:t>
      </w:r>
      <w:r>
        <w:rPr>
          <w:rFonts w:hint="eastAsia" w:ascii="Times New Roman" w:hAnsi="Times New Roman" w:eastAsia="宋体"/>
          <w:bCs/>
          <w:sz w:val="24"/>
          <w:szCs w:val="24"/>
          <w:u w:val="none"/>
          <w:lang w:val="en-US" w:eastAsia="zh-CN"/>
        </w:rPr>
        <w:t>2：投标报价表</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项目名称：粗硫酸盐松节油出售</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22XS332</w:t>
      </w:r>
      <w:r>
        <w:rPr>
          <w:rFonts w:hint="eastAsia" w:ascii="Times New Roman" w:hAnsi="Times New Roman"/>
          <w:sz w:val="24"/>
          <w:szCs w:val="24"/>
          <w:lang w:val="en-US" w:eastAsia="zh-CN"/>
        </w:rPr>
        <w:t>C</w:t>
      </w:r>
    </w:p>
    <w:tbl>
      <w:tblPr>
        <w:tblStyle w:val="12"/>
        <w:tblW w:w="8428" w:type="dxa"/>
        <w:jc w:val="center"/>
        <w:tblInd w:w="-3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2894"/>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标的</w:t>
            </w:r>
          </w:p>
        </w:tc>
        <w:tc>
          <w:tcPr>
            <w:tcW w:w="289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数量</w:t>
            </w:r>
          </w:p>
        </w:tc>
        <w:tc>
          <w:tcPr>
            <w:tcW w:w="3720"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投标报价（含</w:t>
            </w:r>
            <w:r>
              <w:rPr>
                <w:rFonts w:hint="eastAsia" w:ascii="Times New Roman" w:hAnsi="Times New Roman" w:eastAsia="宋体"/>
                <w:sz w:val="24"/>
                <w:szCs w:val="24"/>
                <w:vertAlign w:val="baseline"/>
                <w:lang w:val="en-US" w:eastAsia="zh-CN"/>
              </w:rPr>
              <w:t>13%增值</w:t>
            </w:r>
            <w:r>
              <w:rPr>
                <w:rFonts w:hint="eastAsia" w:ascii="Times New Roman" w:hAnsi="Times New Roman" w:eastAsia="宋体"/>
                <w:sz w:val="24"/>
                <w:szCs w:val="24"/>
                <w:vertAlign w:val="baseline"/>
                <w:lang w:eastAsia="zh-CN"/>
              </w:rPr>
              <w:t>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4"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rPr>
              <w:t>粗硫酸盐松节油</w:t>
            </w:r>
          </w:p>
        </w:tc>
        <w:tc>
          <w:tcPr>
            <w:tcW w:w="289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视招标人生产情况及出售要求，以招标人实际生产情况为准。</w:t>
            </w:r>
          </w:p>
        </w:tc>
        <w:tc>
          <w:tcPr>
            <w:tcW w:w="3720" w:type="dxa"/>
            <w:vAlign w:val="center"/>
          </w:tcPr>
          <w:p>
            <w:pPr>
              <w:spacing w:line="360" w:lineRule="auto"/>
              <w:jc w:val="left"/>
              <w:rPr>
                <w:rFonts w:hint="eastAsia"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小写：</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vertAlign w:val="baseline"/>
                <w:lang w:val="en-US" w:eastAsia="zh-CN"/>
              </w:rPr>
              <w:t>元/吨</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outlineLvl w:val="9"/>
              <w:rPr>
                <w:rFonts w:hint="default"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大写：</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vertAlign w:val="baseline"/>
                <w:lang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28" w:type="dxa"/>
            <w:gridSpan w:val="3"/>
            <w:vAlign w:val="center"/>
          </w:tcPr>
          <w:p>
            <w:pPr>
              <w:spacing w:line="360" w:lineRule="auto"/>
              <w:jc w:val="left"/>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备注：</w:t>
            </w:r>
          </w:p>
        </w:tc>
      </w:tr>
    </w:tbl>
    <w:p>
      <w:pPr>
        <w:spacing w:line="360" w:lineRule="auto"/>
        <w:ind w:firstLine="480" w:firstLineChars="200"/>
        <w:jc w:val="left"/>
        <w:rPr>
          <w:rFonts w:hint="eastAsia" w:ascii="Times New Roman" w:hAnsi="Times New Roman" w:eastAsia="宋体"/>
          <w:sz w:val="24"/>
          <w:szCs w:val="24"/>
          <w:lang w:eastAsia="zh-CN"/>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eastAsia" w:ascii="Times New Roman" w:hAnsi="Times New Roman" w:eastAsia="宋体" w:cs="宋体"/>
          <w:sz w:val="28"/>
          <w:szCs w:val="28"/>
          <w:lang w:eastAsia="zh-CN"/>
        </w:rPr>
      </w:pPr>
      <w:r>
        <w:rPr>
          <w:rFonts w:hint="eastAsia" w:ascii="Times New Roman" w:hAnsi="Times New Roman" w:eastAsia="宋体"/>
          <w:sz w:val="24"/>
          <w:szCs w:val="24"/>
        </w:rPr>
        <w:t>时间：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2XS332C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2A63E5"/>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4E3F25B3"/>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2023-02-14T08:32:30Z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