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：板纸事业部半自动纸管精切机采购</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2.1招标内容：</w:t>
      </w:r>
    </w:p>
    <w:tbl>
      <w:tblPr>
        <w:tblStyle w:val="12"/>
        <w:tblW w:w="8919" w:type="dxa"/>
        <w:jc w:val="center"/>
        <w:tblInd w:w="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2"/>
        <w:gridCol w:w="3203"/>
        <w:gridCol w:w="1785"/>
        <w:gridCol w:w="2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序号</w:t>
            </w:r>
          </w:p>
        </w:tc>
        <w:tc>
          <w:tcPr>
            <w:tcW w:w="320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标的名称</w:t>
            </w:r>
          </w:p>
        </w:tc>
        <w:tc>
          <w:tcPr>
            <w:tcW w:w="1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数量</w:t>
            </w:r>
          </w:p>
        </w:tc>
        <w:tc>
          <w:tcPr>
            <w:tcW w:w="28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型号规格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w:t>
            </w:r>
          </w:p>
        </w:tc>
        <w:tc>
          <w:tcPr>
            <w:tcW w:w="320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半自动纸管精切机</w:t>
            </w:r>
          </w:p>
        </w:tc>
        <w:tc>
          <w:tcPr>
            <w:tcW w:w="1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1台</w:t>
            </w:r>
          </w:p>
        </w:tc>
        <w:tc>
          <w:tcPr>
            <w:tcW w:w="28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详见技术要求</w:t>
            </w:r>
          </w:p>
        </w:tc>
      </w:tr>
    </w:tbl>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2.2技术要求：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（1）可精切内直径Ø76±1mm外直径Ø103±2mm厚度为10-15mm纸管。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（2）可切长度(500mm-3000mm)纸管。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（3）配半自动纸管精切机备品模具一套。</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（4）人工放管，自动入管，自动精切、人工取料尾。</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（5）中标方负责设备安装调试及设备使用培训教学以及注意事项。</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3.1交货时间：投标时承诺最短交货期。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3.2交货地点：福建省三明市沙县区青州镇青山纸业公司指定区域内。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w:t>
      </w:r>
      <w:r>
        <w:rPr>
          <w:rFonts w:hint="eastAsia" w:ascii="Times New Roman" w:hAnsi="Times New Roman" w:eastAsia="宋体"/>
          <w:b w:val="0"/>
          <w:bCs w:val="0"/>
          <w:color w:val="auto"/>
          <w:sz w:val="24"/>
          <w:szCs w:val="24"/>
          <w:lang w:eastAsia="zh-CN"/>
        </w:rPr>
        <w:t>.1具有独立承担民事责任的能力（提供三证合一的营业执照）；</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4.2</w:t>
      </w:r>
      <w:r>
        <w:rPr>
          <w:rFonts w:hint="eastAsia" w:ascii="Times New Roman" w:hAnsi="Times New Roman" w:eastAsia="宋体"/>
          <w:b w:val="0"/>
          <w:bCs w:val="0"/>
          <w:color w:val="auto"/>
          <w:sz w:val="24"/>
          <w:szCs w:val="24"/>
          <w:lang w:eastAsia="zh-CN"/>
        </w:rPr>
        <w:t>具有良好的商业信誉和健全的财务会计制度（提供近一年财务状况报告或资格承诺函）；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4.3</w:t>
      </w:r>
      <w:r>
        <w:rPr>
          <w:rFonts w:hint="eastAsia" w:ascii="Times New Roman" w:hAnsi="Times New Roman" w:eastAsia="宋体"/>
          <w:b w:val="0"/>
          <w:bCs w:val="0"/>
          <w:color w:val="auto"/>
          <w:sz w:val="24"/>
          <w:szCs w:val="24"/>
          <w:lang w:eastAsia="zh-CN"/>
        </w:rPr>
        <w:t>具有履行合同所必须的设备和专业技术能力（提供声明函）；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4.4</w:t>
      </w:r>
      <w:r>
        <w:rPr>
          <w:rFonts w:hint="eastAsia" w:ascii="Times New Roman" w:hAnsi="Times New Roman" w:eastAsia="宋体"/>
          <w:b w:val="0"/>
          <w:bCs w:val="0"/>
          <w:color w:val="auto"/>
          <w:sz w:val="24"/>
          <w:szCs w:val="24"/>
          <w:lang w:eastAsia="zh-CN"/>
        </w:rPr>
        <w:t>具有依法缴纳税收和社会保障资金的良好记录（提供近一年依法缴纳税收和社会保障资金的证明材料或资格承诺函）；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4.5</w:t>
      </w:r>
      <w:r>
        <w:rPr>
          <w:rFonts w:hint="eastAsia" w:ascii="Times New Roman" w:hAnsi="Times New Roman" w:eastAsia="宋体"/>
          <w:b w:val="0"/>
          <w:bCs w:val="0"/>
          <w:color w:val="auto"/>
          <w:sz w:val="24"/>
          <w:szCs w:val="24"/>
          <w:lang w:eastAsia="zh-CN"/>
        </w:rPr>
        <w:t>近三年内，在经营活动中没有重大违法记录（提供声明函）；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4.6</w:t>
      </w:r>
      <w:r>
        <w:rPr>
          <w:rFonts w:hint="eastAsia" w:ascii="Times New Roman" w:hAnsi="Times New Roman" w:eastAsia="宋体"/>
          <w:b w:val="0"/>
          <w:bCs w:val="0"/>
          <w:color w:val="auto"/>
          <w:sz w:val="24"/>
          <w:szCs w:val="24"/>
          <w:lang w:eastAsia="zh-CN"/>
        </w:rPr>
        <w:t>非生产单位投标必须出具生产单位的代理授权证书；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4.7</w:t>
      </w:r>
      <w:r>
        <w:rPr>
          <w:rFonts w:hint="eastAsia" w:ascii="Times New Roman" w:hAnsi="Times New Roman" w:eastAsia="宋体"/>
          <w:b w:val="0"/>
          <w:bCs w:val="0"/>
          <w:color w:val="auto"/>
          <w:sz w:val="24"/>
          <w:szCs w:val="24"/>
          <w:lang w:eastAsia="zh-CN"/>
        </w:rPr>
        <w:t>所有有意向参与的单位应与板纸2#机技术员进行详细技术交流，否则视同放弃投标资格。（以设备部开具的技术交流证明为准，投标文件中需附上此证明；为响应疫情防控要求，技术交流可通过电话、微信联系进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注：对于4.3及4.5项，声明函格式见附件2。对于4.2及4.4项，投标人可自行选择是否提供承诺函（格式见附件1）。提供相关承诺函的投标人，无需再提供财务状况、缴纳税收和社保资金等证明材料。招标人有权在签订合同前要求中标人提供相关证明材料以核实中标人承诺事项的真实性。投标人应当遵循诚实守信的原则，不得作出虚假承诺，承诺不实的，属于提供虚假材料谋取中标、成交，依法追究相关的法律责任。】</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default"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5.</w:t>
      </w:r>
      <w:r>
        <w:rPr>
          <w:rFonts w:hint="default" w:ascii="Times New Roman" w:hAnsi="Times New Roman" w:eastAsia="宋体"/>
          <w:b/>
          <w:bCs/>
          <w:color w:val="auto"/>
          <w:sz w:val="24"/>
          <w:szCs w:val="24"/>
          <w:lang w:val="en-US" w:eastAsia="zh-CN"/>
        </w:rPr>
        <w:t>双方职责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5.1</w:t>
      </w:r>
      <w:r>
        <w:rPr>
          <w:rFonts w:hint="default" w:ascii="Times New Roman" w:hAnsi="Times New Roman" w:eastAsia="宋体"/>
          <w:b w:val="0"/>
          <w:bCs w:val="0"/>
          <w:color w:val="auto"/>
          <w:sz w:val="24"/>
          <w:szCs w:val="24"/>
          <w:lang w:val="en-US" w:eastAsia="zh-CN"/>
        </w:rPr>
        <w:t>投标方对方案的可行性、合理性完全负责，对所提供的产品和服务的质量、技术、性能完全负责。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5.2</w:t>
      </w:r>
      <w:r>
        <w:rPr>
          <w:rFonts w:hint="default" w:ascii="Times New Roman" w:hAnsi="Times New Roman" w:eastAsia="宋体"/>
          <w:b w:val="0"/>
          <w:bCs w:val="0"/>
          <w:color w:val="auto"/>
          <w:sz w:val="24"/>
          <w:szCs w:val="24"/>
          <w:lang w:val="en-US" w:eastAsia="zh-CN"/>
        </w:rPr>
        <w:t>投标方提供的设备应为制造厂原装、最新、全新的产品，保证其提供的货物经过其指导正确安装、调整后在整个系统投料运转7天内，达到产品技术指标。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5.3</w:t>
      </w:r>
      <w:r>
        <w:rPr>
          <w:rFonts w:hint="default" w:ascii="Times New Roman" w:hAnsi="Times New Roman" w:eastAsia="宋体"/>
          <w:b w:val="0"/>
          <w:bCs w:val="0"/>
          <w:color w:val="auto"/>
          <w:sz w:val="24"/>
          <w:szCs w:val="24"/>
          <w:lang w:val="en-US" w:eastAsia="zh-CN"/>
        </w:rPr>
        <w:t>中标方应保证对质量保证期内因提供的制造、安装、调试或材料缺陷所有因中标方责任引起的设备任何缺陷、故障、和损坏负责。中标方负责设备的运输，凡设备到招标方之前所产生的意外损失由中标方承担。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5.4</w:t>
      </w:r>
      <w:r>
        <w:rPr>
          <w:rFonts w:hint="default" w:ascii="Times New Roman" w:hAnsi="Times New Roman" w:eastAsia="宋体"/>
          <w:b w:val="0"/>
          <w:bCs w:val="0"/>
          <w:color w:val="auto"/>
          <w:sz w:val="24"/>
          <w:szCs w:val="24"/>
          <w:lang w:val="en-US" w:eastAsia="zh-CN"/>
        </w:rPr>
        <w:t>投标方技术交流、到招标方现场人员应按有关规定，采取严格的安全防护措施，承担由于自身安全措施不力造成安全事故的责任和因此发生的费用。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5.5</w:t>
      </w:r>
      <w:r>
        <w:rPr>
          <w:rFonts w:hint="default" w:ascii="Times New Roman" w:hAnsi="Times New Roman" w:eastAsia="宋体"/>
          <w:b w:val="0"/>
          <w:bCs w:val="0"/>
          <w:color w:val="auto"/>
          <w:sz w:val="24"/>
          <w:szCs w:val="24"/>
          <w:lang w:val="en-US" w:eastAsia="zh-CN"/>
        </w:rPr>
        <w:t>中标方负责设备安装调试及设备使用培训教学以及注意事项。</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w:t>
      </w:r>
      <w:r>
        <w:rPr>
          <w:rFonts w:hint="default" w:ascii="Times New Roman" w:hAnsi="Times New Roman" w:eastAsia="宋体"/>
          <w:b/>
          <w:bCs/>
          <w:color w:val="auto"/>
          <w:sz w:val="24"/>
          <w:szCs w:val="24"/>
          <w:lang w:val="en-US" w:eastAsia="zh-CN"/>
        </w:rPr>
        <w:t>违约责任</w:t>
      </w:r>
      <w:r>
        <w:rPr>
          <w:rFonts w:hint="default" w:ascii="Times New Roman" w:hAnsi="Times New Roman" w:eastAsia="宋体"/>
          <w:b w:val="0"/>
          <w:bCs w:val="0"/>
          <w:color w:val="auto"/>
          <w:sz w:val="24"/>
          <w:szCs w:val="24"/>
          <w:lang w:val="en-US" w:eastAsia="zh-CN"/>
        </w:rPr>
        <w:t>：中标并签订合同后，不能按时履约必须支付违约金为合同总额的1</w:t>
      </w:r>
      <w:r>
        <w:rPr>
          <w:rFonts w:hint="eastAsia" w:ascii="Times New Roman" w:hAnsi="Times New Roman" w:eastAsia="宋体"/>
          <w:b w:val="0"/>
          <w:bCs w:val="0"/>
          <w:color w:val="auto"/>
          <w:sz w:val="24"/>
          <w:szCs w:val="24"/>
          <w:lang w:val="en-US" w:eastAsia="zh-CN"/>
        </w:rPr>
        <w:t>0</w:t>
      </w:r>
      <w:r>
        <w:rPr>
          <w:rFonts w:hint="default" w:ascii="Times New Roman" w:hAnsi="Times New Roman" w:eastAsia="宋体"/>
          <w:b w:val="0"/>
          <w:bCs w:val="0"/>
          <w:color w:val="auto"/>
          <w:sz w:val="24"/>
          <w:szCs w:val="24"/>
          <w:lang w:val="en-US" w:eastAsia="zh-CN"/>
        </w:rPr>
        <w:t>%，其余按</w:t>
      </w:r>
      <w:r>
        <w:rPr>
          <w:rFonts w:hint="eastAsia" w:ascii="Times New Roman" w:hAnsi="Times New Roman" w:eastAsia="宋体"/>
          <w:b w:val="0"/>
          <w:bCs w:val="0"/>
          <w:color w:val="auto"/>
          <w:sz w:val="24"/>
          <w:szCs w:val="24"/>
          <w:lang w:val="en-US" w:eastAsia="zh-CN"/>
        </w:rPr>
        <w:t>《</w:t>
      </w:r>
      <w:r>
        <w:rPr>
          <w:rFonts w:hint="default" w:ascii="Times New Roman" w:hAnsi="Times New Roman" w:eastAsia="宋体"/>
          <w:b w:val="0"/>
          <w:bCs w:val="0"/>
          <w:color w:val="auto"/>
          <w:sz w:val="24"/>
          <w:szCs w:val="24"/>
          <w:lang w:val="en-US" w:eastAsia="zh-CN"/>
        </w:rPr>
        <w:t>中华人民共和国民法典</w:t>
      </w:r>
      <w:r>
        <w:rPr>
          <w:rFonts w:hint="eastAsia" w:ascii="Times New Roman" w:hAnsi="Times New Roman" w:eastAsia="宋体"/>
          <w:b w:val="0"/>
          <w:bCs w:val="0"/>
          <w:color w:val="auto"/>
          <w:sz w:val="24"/>
          <w:szCs w:val="24"/>
          <w:lang w:val="en-US" w:eastAsia="zh-CN"/>
        </w:rPr>
        <w:t>》</w:t>
      </w:r>
      <w:r>
        <w:rPr>
          <w:rFonts w:hint="default" w:ascii="Times New Roman" w:hAnsi="Times New Roman" w:eastAsia="宋体"/>
          <w:b w:val="0"/>
          <w:bCs w:val="0"/>
          <w:color w:val="auto"/>
          <w:sz w:val="24"/>
          <w:szCs w:val="24"/>
          <w:lang w:val="en-US" w:eastAsia="zh-CN"/>
        </w:rPr>
        <w:t>执行。</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color w:val="auto"/>
          <w:sz w:val="24"/>
          <w:szCs w:val="24"/>
          <w:lang w:val="en-US" w:eastAsia="zh-CN"/>
        </w:rPr>
        <w:t>7.验收标准</w:t>
      </w:r>
      <w:r>
        <w:rPr>
          <w:rFonts w:hint="eastAsia" w:ascii="Times New Roman" w:hAnsi="Times New Roman" w:eastAsia="宋体"/>
          <w:b w:val="0"/>
          <w:bCs/>
          <w:color w:val="auto"/>
          <w:sz w:val="24"/>
          <w:szCs w:val="24"/>
          <w:lang w:val="en-US" w:eastAsia="zh-CN"/>
        </w:rPr>
        <w:t>：设备按照生产厂家的产品验收标准（投标人投标时提供）和中国国家标准进行验收。</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：自使用合格开始十二个月或设备到厂后十八个月（以先到为准），投标人可承诺更长的质保期</w:t>
      </w:r>
      <w:r>
        <w:rPr>
          <w:rFonts w:hint="eastAsia" w:ascii="Times New Roman" w:hAnsi="Times New Roman" w:eastAsia="宋体"/>
          <w:b w:val="0"/>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货到验收合格后，招标人财务部收到全额增值税专用发票45天支付总合同价的90%（银行电子承兑汇票）；质保金为总合同价的10%，在质保期满后无质量问题三十天内付清，质保金不计利息。中标人需开具13%增值税专用发票。【付款方式不得偏离，否则投标将被否决】</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2报价为含13%增值税到厂人民币价格</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÷AD×40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技术性能、制造水平及产品特点：25分；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w:t>
            </w:r>
            <w:r>
              <w:rPr>
                <w:rFonts w:hint="default" w:ascii="Times New Roman" w:hAnsi="Times New Roman" w:eastAsia="宋体" w:cs="Times New Roman"/>
                <w:color w:val="auto"/>
                <w:kern w:val="0"/>
                <w:szCs w:val="21"/>
                <w:lang w:val="en-US" w:eastAsia="zh-CN"/>
              </w:rPr>
              <w:t>备件和材料满足招标文件要求的程度：10分；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不满足备件规格及技术要求的，按废标处理。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①相关行业类似业绩3分：1分/份合同（以投标人合同复印件为准），封顶3分；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②质保期2分：质保期最长的为满分2分，其它的按比例得分。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12</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w:t>
      </w:r>
      <w:r>
        <w:rPr>
          <w:rFonts w:hint="eastAsia" w:ascii="Times New Roman" w:hAnsi="Times New Roman"/>
          <w:color w:val="auto"/>
          <w:sz w:val="24"/>
          <w:szCs w:val="24"/>
          <w:lang w:val="en-US" w:eastAsia="zh-CN"/>
        </w:rPr>
        <w:t>2</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28</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.2.1现场：参与现场投标的，投标人应于开标之前将投标文件送至青山纸业文化楼4楼招标办会议室。到会议现场参加开标的投标人代表，须遵守沙县政府和本公司关于新冠肺炎疫情防控的相关规定</w:t>
      </w:r>
      <w:bookmarkStart w:id="0" w:name="_GoBack"/>
      <w:bookmarkEnd w:id="0"/>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12.2.3网络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2500元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到期应付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13.2.3银行保函：以银行保函的形式提交投标保证金。银行保函单独密封装订。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14.1.1投标保证金凭证：银行电汇回单或投标保证金函。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17.</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技术联系人：黄欣13850802208（板纸事业部）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商务联系人：柳工0598-5658513</w:t>
      </w:r>
      <w:r>
        <w:rPr>
          <w:rFonts w:hint="eastAsia" w:ascii="Times New Roman" w:hAnsi="Times New Roman" w:eastAsia="宋体"/>
          <w:color w:val="auto"/>
          <w:sz w:val="24"/>
          <w:szCs w:val="24"/>
          <w:lang w:eastAsia="zh-CN"/>
        </w:rPr>
        <w:t>（设备部）</w:t>
      </w:r>
    </w:p>
    <w:p>
      <w:pPr>
        <w:keepNext w:val="0"/>
        <w:keepLines w:val="0"/>
        <w:pageBreakBefore w:val="0"/>
        <w:widowControl w:val="0"/>
        <w:kinsoku/>
        <w:overflowPunct/>
        <w:topLinePunct w:val="0"/>
        <w:autoSpaceDE/>
        <w:autoSpaceDN/>
        <w:bidi w:val="0"/>
        <w:adjustRightInd/>
        <w:snapToGrid/>
        <w:spacing w:line="240" w:lineRule="auto"/>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1：资格承诺函（格式）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附件2：声明函（格式）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附件3：法定代表人授权书（格式）</w:t>
      </w:r>
    </w:p>
    <w:p>
      <w:pPr>
        <w:keepNext w:val="0"/>
        <w:keepLines w:val="0"/>
        <w:pageBreakBefore w:val="0"/>
        <w:widowControl w:val="0"/>
        <w:kinsoku/>
        <w:overflowPunct/>
        <w:topLinePunct w:val="0"/>
        <w:autoSpaceDE/>
        <w:autoSpaceDN/>
        <w:bidi w:val="0"/>
        <w:adjustRightInd/>
        <w:snapToGrid/>
        <w:spacing w:line="240" w:lineRule="auto"/>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21</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eastAsia="zh-CN"/>
        </w:rPr>
        <w:t>附件</w:t>
      </w:r>
      <w:r>
        <w:rPr>
          <w:rFonts w:hint="eastAsia" w:ascii="Times New Roman" w:hAnsi="Times New Roman" w:eastAsia="宋体" w:cs="Times New Roman"/>
          <w:bCs/>
          <w:color w:val="auto"/>
          <w:sz w:val="24"/>
          <w:szCs w:val="24"/>
          <w:lang w:val="en-US" w:eastAsia="zh-CN"/>
        </w:rPr>
        <w:t>1：资格承诺函（格式）</w:t>
      </w:r>
    </w:p>
    <w:p>
      <w:pPr>
        <w:jc w:val="center"/>
        <w:rPr>
          <w:rFonts w:hint="eastAsia" w:ascii="Times New Roman" w:hAnsi="Times New Roman" w:eastAsia="宋体" w:cs="Times New Roman"/>
          <w:bCs/>
          <w:color w:val="auto"/>
          <w:spacing w:val="20"/>
          <w:sz w:val="24"/>
          <w:szCs w:val="24"/>
          <w:lang w:val="en-US" w:eastAsia="zh-CN"/>
        </w:rPr>
      </w:pPr>
      <w:r>
        <w:rPr>
          <w:rFonts w:hint="eastAsia" w:ascii="Times New Roman" w:hAnsi="Times New Roman" w:eastAsia="宋体" w:cs="Times New Roman"/>
          <w:b/>
          <w:bCs w:val="0"/>
          <w:color w:val="auto"/>
          <w:spacing w:val="20"/>
          <w:sz w:val="28"/>
          <w:szCs w:val="28"/>
          <w:lang w:val="en-US" w:eastAsia="zh-CN"/>
        </w:rPr>
        <w:t>资格承诺函</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致：</w:t>
      </w:r>
      <w:r>
        <w:rPr>
          <w:rFonts w:hint="eastAsia" w:ascii="Times New Roman" w:hAnsi="Times New Roman" w:eastAsia="宋体"/>
          <w:color w:val="auto"/>
          <w:sz w:val="24"/>
          <w:szCs w:val="24"/>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我单位参与招标编号为</w:t>
      </w:r>
      <w:r>
        <w:rPr>
          <w:rFonts w:hint="eastAsia" w:ascii="Times New Roman" w:hAnsi="Times New Roman" w:eastAsia="宋体"/>
          <w:color w:val="auto"/>
          <w:sz w:val="24"/>
          <w:szCs w:val="24"/>
          <w:u w:val="single"/>
          <w:lang w:val="en-US" w:eastAsia="zh-CN"/>
        </w:rPr>
        <w:t>2022SB</w:t>
      </w:r>
      <w:r>
        <w:rPr>
          <w:rFonts w:hint="eastAsia" w:ascii="Times New Roman" w:hAnsi="Times New Roman"/>
          <w:color w:val="auto"/>
          <w:sz w:val="24"/>
          <w:szCs w:val="24"/>
          <w:u w:val="single"/>
          <w:lang w:val="en-US" w:eastAsia="zh-CN"/>
        </w:rPr>
        <w:t>302C</w:t>
      </w:r>
      <w:r>
        <w:rPr>
          <w:rFonts w:hint="eastAsia" w:ascii="Times New Roman" w:hAnsi="Times New Roman" w:eastAsia="宋体"/>
          <w:color w:val="auto"/>
          <w:sz w:val="24"/>
          <w:szCs w:val="24"/>
        </w:rPr>
        <w:t>的</w:t>
      </w:r>
      <w:r>
        <w:rPr>
          <w:rFonts w:hint="eastAsia" w:ascii="Times New Roman" w:hAnsi="Times New Roman" w:eastAsia="宋体"/>
          <w:color w:val="auto"/>
          <w:sz w:val="24"/>
          <w:szCs w:val="24"/>
          <w:u w:val="single"/>
        </w:rPr>
        <w:t>板纸事业部半自动纸管精切机采购</w:t>
      </w:r>
      <w:r>
        <w:rPr>
          <w:rFonts w:hint="eastAsia" w:ascii="Times New Roman" w:hAnsi="Times New Roman" w:eastAsia="宋体"/>
          <w:color w:val="auto"/>
          <w:sz w:val="24"/>
          <w:szCs w:val="24"/>
        </w:rPr>
        <w:t>招标项目，</w:t>
      </w:r>
      <w:r>
        <w:rPr>
          <w:rFonts w:hint="eastAsia" w:ascii="Times New Roman" w:hAnsi="Times New Roman" w:eastAsia="宋体"/>
          <w:color w:val="auto"/>
          <w:sz w:val="24"/>
          <w:szCs w:val="24"/>
          <w:lang w:eastAsia="zh-CN"/>
        </w:rPr>
        <w:t>对招标文件资格要求第</w:t>
      </w:r>
      <w:r>
        <w:rPr>
          <w:rFonts w:hint="eastAsia" w:ascii="Times New Roman" w:hAnsi="Times New Roman" w:eastAsia="宋体"/>
          <w:color w:val="auto"/>
          <w:sz w:val="24"/>
          <w:szCs w:val="24"/>
          <w:lang w:val="en-US" w:eastAsia="zh-CN"/>
        </w:rPr>
        <w:t>4.2和4.4项现</w:t>
      </w:r>
      <w:r>
        <w:rPr>
          <w:rFonts w:hint="eastAsia" w:ascii="Times New Roman" w:hAnsi="Times New Roman" w:eastAsia="宋体"/>
          <w:color w:val="auto"/>
          <w:sz w:val="24"/>
          <w:szCs w:val="24"/>
        </w:rPr>
        <w:t>承诺如下：</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文件资格要求的财务状况报告。</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文件资格要求的依法缴纳税收证明材料。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文件资格要求的依法缴纳社会保障资金证明材料。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若我单位承诺不实，自愿承担提供虚假材料谋取中标、成交的法律责任。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说明：1.</w:t>
      </w: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可自行选择是否提供本承诺函，若不提供本承诺函的，应按</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文件要求提供相应的证明材料。2.</w:t>
      </w: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可</w:t>
      </w:r>
      <w:r>
        <w:rPr>
          <w:rFonts w:hint="eastAsia" w:ascii="Times New Roman" w:hAnsi="Times New Roman" w:eastAsia="宋体"/>
          <w:color w:val="auto"/>
          <w:sz w:val="24"/>
          <w:szCs w:val="24"/>
          <w:lang w:eastAsia="zh-CN"/>
        </w:rPr>
        <w:t>删</w:t>
      </w:r>
      <w:r>
        <w:rPr>
          <w:rFonts w:hint="eastAsia" w:ascii="Times New Roman" w:hAnsi="Times New Roman" w:eastAsia="宋体"/>
          <w:color w:val="auto"/>
          <w:sz w:val="24"/>
          <w:szCs w:val="24"/>
        </w:rPr>
        <w:t>减承诺事项</w:t>
      </w:r>
      <w:r>
        <w:rPr>
          <w:rFonts w:hint="eastAsia" w:ascii="Times New Roman" w:hAnsi="Times New Roman" w:eastAsia="宋体"/>
          <w:color w:val="auto"/>
          <w:sz w:val="24"/>
          <w:szCs w:val="24"/>
          <w:lang w:eastAsia="zh-CN"/>
        </w:rPr>
        <w:t>并提供相应材料</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删</w:t>
      </w:r>
      <w:r>
        <w:rPr>
          <w:rFonts w:hint="eastAsia" w:ascii="Times New Roman" w:hAnsi="Times New Roman" w:eastAsia="宋体"/>
          <w:color w:val="auto"/>
          <w:sz w:val="24"/>
          <w:szCs w:val="24"/>
        </w:rPr>
        <w:t>去承诺第</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项的，则应按</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文件要求提供财务状况报告。</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br w:type="page"/>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附件2：声明函</w:t>
      </w:r>
      <w:r>
        <w:rPr>
          <w:rFonts w:hint="eastAsia" w:ascii="Times New Roman" w:hAnsi="Times New Roman" w:eastAsia="宋体" w:cs="Times New Roman"/>
          <w:bCs/>
          <w:color w:val="auto"/>
          <w:sz w:val="24"/>
          <w:szCs w:val="24"/>
          <w:lang w:val="en-US" w:eastAsia="zh-CN"/>
        </w:rPr>
        <w:t>（格式）</w:t>
      </w: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致：福建省青山纸业股份有限公司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我方近</w:t>
      </w:r>
      <w:r>
        <w:rPr>
          <w:rFonts w:hint="eastAsia" w:ascii="Times New Roman" w:hAnsi="Times New Roman" w:eastAsia="宋体"/>
          <w:color w:val="auto"/>
          <w:sz w:val="24"/>
          <w:szCs w:val="24"/>
        </w:rPr>
        <w:t>三年内在经营活动中没有重大违法记录。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rPr>
          <w:rFonts w:hint="eastAsia" w:ascii="Times New Roman" w:hAnsi="Times New Roman" w:eastAsia="宋体" w:cs="Times New Roman"/>
          <w:bCs/>
          <w:color w:val="auto"/>
          <w:sz w:val="24"/>
          <w:szCs w:val="24"/>
        </w:rPr>
      </w:pPr>
      <w:r>
        <w:rPr>
          <w:rFonts w:hint="eastAsia" w:ascii="Times New Roman" w:hAnsi="Times New Roman"/>
          <w:color w:val="auto"/>
          <w:sz w:val="24"/>
          <w:szCs w:val="24"/>
          <w:lang w:eastAsia="zh-CN"/>
        </w:rPr>
        <w:t>（注：若有证明材料，附后。）</w:t>
      </w: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2SB302C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857027"/>
    <w:rsid w:val="1D1A1A49"/>
    <w:rsid w:val="1F570C40"/>
    <w:rsid w:val="1FDC0B0B"/>
    <w:rsid w:val="1FF477CC"/>
    <w:rsid w:val="20287CB8"/>
    <w:rsid w:val="21F72B38"/>
    <w:rsid w:val="22A1546C"/>
    <w:rsid w:val="22F02809"/>
    <w:rsid w:val="24C550DC"/>
    <w:rsid w:val="24CA313E"/>
    <w:rsid w:val="26A9561F"/>
    <w:rsid w:val="27D34759"/>
    <w:rsid w:val="2A493987"/>
    <w:rsid w:val="2ACE7F9E"/>
    <w:rsid w:val="2BC45956"/>
    <w:rsid w:val="2C525A9B"/>
    <w:rsid w:val="2D6E3876"/>
    <w:rsid w:val="2D91433C"/>
    <w:rsid w:val="2EA81856"/>
    <w:rsid w:val="301B3B01"/>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523480"/>
    <w:rsid w:val="3E52455F"/>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5867334"/>
    <w:rsid w:val="574E15B7"/>
    <w:rsid w:val="58DB4512"/>
    <w:rsid w:val="5D785372"/>
    <w:rsid w:val="5DAE499A"/>
    <w:rsid w:val="5F194A83"/>
    <w:rsid w:val="5F6F0FB4"/>
    <w:rsid w:val="610928EA"/>
    <w:rsid w:val="62A84C8F"/>
    <w:rsid w:val="63A30CC0"/>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2022-12-21T03:28:18Z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